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83FA" w14:textId="77777777" w:rsidR="005E09F7" w:rsidRDefault="005E09F7" w:rsidP="005E09F7">
      <w:pPr>
        <w:jc w:val="center"/>
        <w:rPr>
          <w:rFonts w:ascii="Times New Roman" w:hAnsi="Times New Roman" w:cs="Times New Roman"/>
          <w:b/>
          <w:bCs/>
          <w:sz w:val="24"/>
          <w:szCs w:val="24"/>
          <w:lang w:val="en-US"/>
        </w:rPr>
      </w:pPr>
      <w:bookmarkStart w:id="0" w:name="_Hlk73518099"/>
      <w:r w:rsidRPr="00CE3F4B">
        <w:rPr>
          <w:rFonts w:ascii="Times New Roman" w:hAnsi="Times New Roman" w:cs="Times New Roman"/>
          <w:b/>
          <w:bCs/>
          <w:sz w:val="24"/>
          <w:szCs w:val="24"/>
          <w:lang w:val="en-US"/>
        </w:rPr>
        <w:t>Conductance</w:t>
      </w:r>
      <w:r>
        <w:rPr>
          <w:rFonts w:ascii="Times New Roman" w:hAnsi="Times New Roman" w:cs="Times New Roman"/>
          <w:b/>
          <w:bCs/>
          <w:sz w:val="24"/>
          <w:szCs w:val="24"/>
          <w:lang w:val="en-US"/>
        </w:rPr>
        <w:t xml:space="preserve"> </w:t>
      </w:r>
    </w:p>
    <w:p w14:paraId="71BDB3CE" w14:textId="77777777" w:rsidR="005E09F7" w:rsidRDefault="005E09F7" w:rsidP="005E09F7">
      <w:pPr>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Dr. D. Chakravarty</w:t>
      </w:r>
    </w:p>
    <w:bookmarkEnd w:id="0"/>
    <w:p w14:paraId="6FBE1F53" w14:textId="1EF4CFF8" w:rsidR="005E09F7" w:rsidRDefault="005E09F7">
      <w:pPr>
        <w:rPr>
          <w:rFonts w:ascii="Times New Roman" w:hAnsi="Times New Roman" w:cs="Times New Roman"/>
          <w:sz w:val="24"/>
          <w:szCs w:val="24"/>
          <w:shd w:val="clear" w:color="auto" w:fill="FFFFFF"/>
        </w:rPr>
      </w:pPr>
      <w:r w:rsidRPr="00A9340A">
        <w:rPr>
          <w:rFonts w:ascii="Times New Roman" w:hAnsi="Times New Roman" w:cs="Times New Roman"/>
          <w:b/>
          <w:bCs/>
          <w:sz w:val="24"/>
          <w:szCs w:val="24"/>
          <w:shd w:val="clear" w:color="auto" w:fill="FFFFFF"/>
        </w:rPr>
        <w:t>Kohlrausch's law of independent migration</w:t>
      </w:r>
      <w:r w:rsidRPr="00A9340A">
        <w:rPr>
          <w:rFonts w:ascii="Times New Roman" w:hAnsi="Times New Roman" w:cs="Times New Roman"/>
          <w:sz w:val="24"/>
          <w:szCs w:val="24"/>
          <w:shd w:val="clear" w:color="auto" w:fill="FFFFFF"/>
        </w:rPr>
        <w:t xml:space="preserve"> </w:t>
      </w:r>
      <w:r w:rsidRPr="00535EFD">
        <w:rPr>
          <w:rFonts w:ascii="Times New Roman" w:hAnsi="Times New Roman" w:cs="Times New Roman"/>
          <w:b/>
          <w:bCs/>
          <w:sz w:val="24"/>
          <w:szCs w:val="24"/>
          <w:shd w:val="clear" w:color="auto" w:fill="FFFFFF"/>
        </w:rPr>
        <w:t>of ions:</w:t>
      </w:r>
      <w:r w:rsidRPr="00A9340A">
        <w:rPr>
          <w:rFonts w:ascii="Times New Roman" w:hAnsi="Times New Roman" w:cs="Times New Roman"/>
          <w:sz w:val="24"/>
          <w:szCs w:val="24"/>
          <w:shd w:val="clear" w:color="auto" w:fill="FFFFFF"/>
        </w:rPr>
        <w:t xml:space="preserve"> </w:t>
      </w:r>
    </w:p>
    <w:p w14:paraId="30DB1FA2" w14:textId="77777777" w:rsidR="00535EFD" w:rsidRPr="00A9340A" w:rsidRDefault="00535EFD">
      <w:pPr>
        <w:rPr>
          <w:rFonts w:ascii="Times New Roman" w:hAnsi="Times New Roman" w:cs="Times New Roman"/>
          <w:sz w:val="24"/>
          <w:szCs w:val="24"/>
        </w:rPr>
      </w:pPr>
    </w:p>
    <w:p w14:paraId="3ED04782" w14:textId="77777777" w:rsidR="00A9340A" w:rsidRPr="00A9340A" w:rsidRDefault="00A9340A" w:rsidP="00A9340A">
      <w:pPr>
        <w:pStyle w:val="NormalWeb"/>
        <w:spacing w:before="120" w:beforeAutospacing="0" w:after="105" w:afterAutospacing="0"/>
        <w:ind w:firstLine="367"/>
        <w:jc w:val="both"/>
      </w:pPr>
      <w:r w:rsidRPr="00A9340A">
        <w:t>In 1874, Kohlrausch formulated the law of independent migration of ions based on the experimental data of conductivities of various electrolytes. This law can be stated as follows:</w:t>
      </w:r>
    </w:p>
    <w:p w14:paraId="57540ADC" w14:textId="77777777" w:rsidR="00A9340A" w:rsidRPr="00A9340A" w:rsidRDefault="00A9340A" w:rsidP="00A9340A">
      <w:pPr>
        <w:pStyle w:val="NormalWeb"/>
        <w:spacing w:before="120" w:beforeAutospacing="0" w:after="105" w:afterAutospacing="0"/>
        <w:ind w:firstLine="367"/>
        <w:jc w:val="both"/>
      </w:pPr>
      <w:r w:rsidRPr="00A9340A">
        <w:rPr>
          <w:i/>
          <w:iCs/>
        </w:rPr>
        <w:t>At infinite dilution, the dissociation of the electrolyte is complete and hence each ion makes definite contribution to the equivalent conductivity of the electrolyte irrespective of the nature of other ions associated with it. </w:t>
      </w:r>
    </w:p>
    <w:p w14:paraId="4E318272" w14:textId="2E076D32" w:rsidR="00A9340A" w:rsidRPr="00A9340A" w:rsidRDefault="00A9340A" w:rsidP="00A9340A">
      <w:pPr>
        <w:pStyle w:val="NormalWeb"/>
        <w:spacing w:before="120" w:beforeAutospacing="0" w:after="105" w:afterAutospacing="0"/>
        <w:ind w:firstLine="367"/>
        <w:jc w:val="both"/>
      </w:pPr>
      <w:r w:rsidRPr="00A9340A">
        <w:rPr>
          <w:i/>
          <w:iCs/>
        </w:rPr>
        <w:t>Therefore</w:t>
      </w:r>
      <w:r>
        <w:rPr>
          <w:i/>
          <w:iCs/>
        </w:rPr>
        <w:t>,</w:t>
      </w:r>
      <w:r w:rsidRPr="00A9340A">
        <w:rPr>
          <w:i/>
          <w:iCs/>
        </w:rPr>
        <w:t xml:space="preserve"> the limiting equivalent conductivity of an electrolyte is the algebraic sum of limiting equivalent conductivities of its constituent ions.</w:t>
      </w:r>
    </w:p>
    <w:p w14:paraId="5C66382A" w14:textId="77777777" w:rsidR="00A9340A" w:rsidRPr="00A9340A" w:rsidRDefault="00A9340A" w:rsidP="00A9340A">
      <w:pPr>
        <w:pStyle w:val="NormalWeb"/>
        <w:spacing w:before="120" w:beforeAutospacing="0" w:after="105" w:afterAutospacing="0"/>
        <w:ind w:firstLine="367"/>
        <w:jc w:val="both"/>
      </w:pPr>
      <w:r w:rsidRPr="00A9340A">
        <w:t xml:space="preserve">i.e., The limiting equivalent conductivity of an electrolyte, </w:t>
      </w:r>
      <w:proofErr w:type="spellStart"/>
      <w:r w:rsidRPr="00A9340A">
        <w:t>Λ</w:t>
      </w:r>
      <w:r w:rsidRPr="00A9340A">
        <w:rPr>
          <w:vertAlign w:val="subscript"/>
        </w:rPr>
        <w:t>o</w:t>
      </w:r>
      <w:r w:rsidRPr="00A9340A">
        <w:rPr>
          <w:vertAlign w:val="superscript"/>
        </w:rPr>
        <w:t>electrolyte</w:t>
      </w:r>
      <w:proofErr w:type="spellEnd"/>
    </w:p>
    <w:p w14:paraId="58857A8C" w14:textId="21560553" w:rsidR="00A9340A" w:rsidRPr="00A9340A" w:rsidRDefault="00A9340A" w:rsidP="00A9340A">
      <w:pPr>
        <w:pStyle w:val="ind"/>
        <w:spacing w:before="120" w:beforeAutospacing="0" w:after="105" w:afterAutospacing="0"/>
        <w:ind w:firstLine="734"/>
        <w:jc w:val="both"/>
      </w:pPr>
      <w:r w:rsidRPr="00A9340A">
        <w:rPr>
          <w:noProof/>
        </w:rPr>
        <w:drawing>
          <wp:inline distT="0" distB="0" distL="0" distR="0" wp14:anchorId="45F7E1ED" wp14:editId="25D96DCD">
            <wp:extent cx="1314450" cy="2603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260350"/>
                    </a:xfrm>
                    <a:prstGeom prst="rect">
                      <a:avLst/>
                    </a:prstGeom>
                    <a:noFill/>
                    <a:ln>
                      <a:noFill/>
                    </a:ln>
                  </pic:spPr>
                </pic:pic>
              </a:graphicData>
            </a:graphic>
          </wp:inline>
        </w:drawing>
      </w:r>
    </w:p>
    <w:p w14:paraId="13BB3E27" w14:textId="77777777" w:rsidR="00A9340A" w:rsidRPr="00A9340A" w:rsidRDefault="00A9340A" w:rsidP="00A9340A">
      <w:pPr>
        <w:pStyle w:val="NormalWeb"/>
        <w:spacing w:before="120" w:beforeAutospacing="0" w:after="105" w:afterAutospacing="0"/>
        <w:ind w:firstLine="367"/>
        <w:jc w:val="both"/>
      </w:pPr>
      <w:r w:rsidRPr="00A9340A">
        <w:t xml:space="preserve">Where </w:t>
      </w:r>
      <w:proofErr w:type="spellStart"/>
      <w:r w:rsidRPr="00A9340A">
        <w:t>λ</w:t>
      </w:r>
      <w:r w:rsidRPr="00A9340A">
        <w:rPr>
          <w:vertAlign w:val="subscript"/>
        </w:rPr>
        <w:t>o</w:t>
      </w:r>
      <w:proofErr w:type="spellEnd"/>
      <w:r w:rsidRPr="00A9340A">
        <w:rPr>
          <w:vertAlign w:val="superscript"/>
        </w:rPr>
        <w:t>+</w:t>
      </w:r>
      <w:r w:rsidRPr="00A9340A">
        <w:t xml:space="preserve"> and </w:t>
      </w:r>
      <w:proofErr w:type="spellStart"/>
      <w:r w:rsidRPr="00A9340A">
        <w:t>λ</w:t>
      </w:r>
      <w:r w:rsidRPr="00A9340A">
        <w:rPr>
          <w:vertAlign w:val="subscript"/>
        </w:rPr>
        <w:t>o</w:t>
      </w:r>
      <w:proofErr w:type="spellEnd"/>
      <w:r w:rsidRPr="00A9340A">
        <w:rPr>
          <w:vertAlign w:val="superscript"/>
        </w:rPr>
        <w:t>-</w:t>
      </w:r>
      <w:r w:rsidRPr="00A9340A">
        <w:t> are the limiting equivalent conductivities of cation and anion respectively.</w:t>
      </w:r>
    </w:p>
    <w:p w14:paraId="114C2A39" w14:textId="6DF4D367" w:rsidR="00A9340A" w:rsidRPr="00A9340A" w:rsidRDefault="00A9340A" w:rsidP="00A9340A">
      <w:pPr>
        <w:pStyle w:val="NormalWeb"/>
        <w:spacing w:before="120" w:beforeAutospacing="0" w:after="105" w:afterAutospacing="0"/>
        <w:ind w:firstLine="367"/>
        <w:jc w:val="both"/>
      </w:pPr>
      <w:r w:rsidRPr="00A9340A">
        <w:t>However</w:t>
      </w:r>
      <w:r>
        <w:t>,</w:t>
      </w:r>
      <w:r w:rsidRPr="00A9340A">
        <w:t xml:space="preserve"> the Kohlrausch law can also be stated in terms of molar conductivities as:</w:t>
      </w:r>
    </w:p>
    <w:p w14:paraId="31FC8E32" w14:textId="77777777" w:rsidR="00A9340A" w:rsidRPr="00A9340A" w:rsidRDefault="00A9340A" w:rsidP="00A9340A">
      <w:pPr>
        <w:pStyle w:val="NormalWeb"/>
        <w:spacing w:before="120" w:beforeAutospacing="0" w:after="105" w:afterAutospacing="0"/>
        <w:ind w:firstLine="367"/>
        <w:jc w:val="both"/>
      </w:pPr>
      <w:r w:rsidRPr="00A9340A">
        <w:rPr>
          <w:b/>
          <w:bCs/>
          <w:i/>
          <w:iCs/>
        </w:rPr>
        <w:t>The limiting molar conductivity of an electrolyte is the sum of individual contributions of limiting molar conductivities of its constituent ions.</w:t>
      </w:r>
    </w:p>
    <w:p w14:paraId="40E7E490" w14:textId="77777777" w:rsidR="00A9340A" w:rsidRPr="00A9340A" w:rsidRDefault="00A9340A" w:rsidP="00A9340A">
      <w:pPr>
        <w:pStyle w:val="NormalWeb"/>
        <w:spacing w:before="120" w:beforeAutospacing="0" w:after="105" w:afterAutospacing="0"/>
        <w:ind w:firstLine="367"/>
        <w:jc w:val="both"/>
      </w:pPr>
      <w:r w:rsidRPr="00A9340A">
        <w:t xml:space="preserve">i.e., The molar equivalent conductivity of an electrolyte, </w:t>
      </w:r>
      <w:proofErr w:type="spellStart"/>
      <w:r w:rsidRPr="00A9340A">
        <w:t>μ</w:t>
      </w:r>
      <w:r w:rsidRPr="00A9340A">
        <w:rPr>
          <w:vertAlign w:val="subscript"/>
        </w:rPr>
        <w:t>o</w:t>
      </w:r>
      <w:r w:rsidRPr="00A9340A">
        <w:rPr>
          <w:vertAlign w:val="superscript"/>
        </w:rPr>
        <w:t>electrolyte</w:t>
      </w:r>
      <w:proofErr w:type="spellEnd"/>
    </w:p>
    <w:p w14:paraId="1B383E55" w14:textId="2AFD17EA" w:rsidR="00A9340A" w:rsidRPr="00A9340A" w:rsidRDefault="00A9340A" w:rsidP="00A9340A">
      <w:pPr>
        <w:pStyle w:val="ind"/>
        <w:spacing w:before="120" w:beforeAutospacing="0" w:after="105" w:afterAutospacing="0"/>
        <w:ind w:firstLine="734"/>
        <w:jc w:val="both"/>
      </w:pPr>
      <w:r w:rsidRPr="00A9340A">
        <w:rPr>
          <w:noProof/>
        </w:rPr>
        <w:drawing>
          <wp:inline distT="0" distB="0" distL="0" distR="0" wp14:anchorId="51A31B50" wp14:editId="479B46EF">
            <wp:extent cx="1600200" cy="2603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260350"/>
                    </a:xfrm>
                    <a:prstGeom prst="rect">
                      <a:avLst/>
                    </a:prstGeom>
                    <a:noFill/>
                    <a:ln>
                      <a:noFill/>
                    </a:ln>
                  </pic:spPr>
                </pic:pic>
              </a:graphicData>
            </a:graphic>
          </wp:inline>
        </w:drawing>
      </w:r>
    </w:p>
    <w:p w14:paraId="57BC0A6F" w14:textId="77777777" w:rsidR="00A9340A" w:rsidRPr="00A9340A" w:rsidRDefault="00A9340A" w:rsidP="00A9340A">
      <w:pPr>
        <w:pStyle w:val="NormalWeb"/>
        <w:spacing w:before="120" w:beforeAutospacing="0" w:after="105" w:afterAutospacing="0"/>
        <w:ind w:firstLine="367"/>
        <w:jc w:val="both"/>
      </w:pPr>
      <w:r w:rsidRPr="00A9340A">
        <w:t xml:space="preserve">Where </w:t>
      </w:r>
      <w:proofErr w:type="spellStart"/>
      <w:r w:rsidRPr="00A9340A">
        <w:t>μ</w:t>
      </w:r>
      <w:r w:rsidRPr="00A9340A">
        <w:rPr>
          <w:vertAlign w:val="subscript"/>
        </w:rPr>
        <w:t>o</w:t>
      </w:r>
      <w:proofErr w:type="spellEnd"/>
      <w:r w:rsidRPr="00A9340A">
        <w:rPr>
          <w:vertAlign w:val="superscript"/>
        </w:rPr>
        <w:t>+</w:t>
      </w:r>
      <w:r w:rsidRPr="00A9340A">
        <w:t xml:space="preserve"> and </w:t>
      </w:r>
      <w:proofErr w:type="spellStart"/>
      <w:r w:rsidRPr="00A9340A">
        <w:t>μ</w:t>
      </w:r>
      <w:r w:rsidRPr="00A9340A">
        <w:rPr>
          <w:vertAlign w:val="subscript"/>
        </w:rPr>
        <w:t>o</w:t>
      </w:r>
      <w:proofErr w:type="spellEnd"/>
      <w:r w:rsidRPr="00A9340A">
        <w:rPr>
          <w:vertAlign w:val="superscript"/>
        </w:rPr>
        <w:t>-</w:t>
      </w:r>
      <w:r w:rsidRPr="00A9340A">
        <w:t> are the limiting molar conductivities of cation and anion respectively.</w:t>
      </w:r>
    </w:p>
    <w:p w14:paraId="03E60406" w14:textId="45F0B9C7" w:rsidR="00A9340A" w:rsidRDefault="00A9340A" w:rsidP="00A9340A">
      <w:pPr>
        <w:pStyle w:val="NormalWeb"/>
        <w:spacing w:before="120" w:beforeAutospacing="0" w:after="105" w:afterAutospacing="0"/>
        <w:ind w:firstLine="367"/>
        <w:jc w:val="both"/>
      </w:pPr>
      <w:r w:rsidRPr="00A9340A">
        <w:t>And n</w:t>
      </w:r>
      <w:r w:rsidRPr="00A9340A">
        <w:rPr>
          <w:vertAlign w:val="subscript"/>
        </w:rPr>
        <w:t>+</w:t>
      </w:r>
      <w:r w:rsidRPr="00A9340A">
        <w:t> and n</w:t>
      </w:r>
      <w:r w:rsidRPr="00A9340A">
        <w:rPr>
          <w:vertAlign w:val="subscript"/>
        </w:rPr>
        <w:t>-</w:t>
      </w:r>
      <w:r w:rsidRPr="00A9340A">
        <w:t> are the stoichiometric numbers of positive and negative ions formed during the dissociation of electrolyte.</w:t>
      </w:r>
      <w:r w:rsidRPr="00A9340A">
        <w:t xml:space="preserve"> </w:t>
      </w:r>
    </w:p>
    <w:p w14:paraId="3F13DF1C" w14:textId="77777777" w:rsidR="00535EFD" w:rsidRDefault="00535EFD" w:rsidP="00A9340A">
      <w:pPr>
        <w:pStyle w:val="NormalWeb"/>
        <w:spacing w:before="120" w:beforeAutospacing="0" w:after="105" w:afterAutospacing="0"/>
        <w:ind w:firstLine="367"/>
        <w:jc w:val="both"/>
      </w:pPr>
    </w:p>
    <w:p w14:paraId="04641DAA" w14:textId="78630A83" w:rsidR="00535EFD" w:rsidRDefault="00535EFD" w:rsidP="00A9340A">
      <w:pPr>
        <w:pStyle w:val="NormalWeb"/>
        <w:spacing w:before="120" w:beforeAutospacing="0" w:after="105" w:afterAutospacing="0"/>
        <w:ind w:firstLine="367"/>
        <w:jc w:val="both"/>
        <w:rPr>
          <w:b/>
          <w:bCs/>
        </w:rPr>
      </w:pPr>
      <w:r w:rsidRPr="00535EFD">
        <w:rPr>
          <w:b/>
          <w:bCs/>
        </w:rPr>
        <w:t xml:space="preserve">Explanation of the </w:t>
      </w:r>
      <w:r w:rsidRPr="00535EFD">
        <w:rPr>
          <w:b/>
          <w:bCs/>
        </w:rPr>
        <w:t>Kohlrausch law</w:t>
      </w:r>
      <w:r w:rsidRPr="00535EFD">
        <w:rPr>
          <w:b/>
          <w:bCs/>
        </w:rPr>
        <w:t>:</w:t>
      </w:r>
    </w:p>
    <w:p w14:paraId="0A973F86" w14:textId="77777777" w:rsidR="00535EFD" w:rsidRPr="00535EFD" w:rsidRDefault="00535EFD" w:rsidP="00A9340A">
      <w:pPr>
        <w:pStyle w:val="NormalWeb"/>
        <w:spacing w:before="120" w:beforeAutospacing="0" w:after="105" w:afterAutospacing="0"/>
        <w:ind w:firstLine="367"/>
        <w:jc w:val="both"/>
        <w:rPr>
          <w:b/>
          <w:bCs/>
        </w:rPr>
      </w:pPr>
    </w:p>
    <w:p w14:paraId="2A3519B8" w14:textId="620B9A11" w:rsidR="00A9340A" w:rsidRDefault="00A9340A" w:rsidP="00A9340A">
      <w:pPr>
        <w:pStyle w:val="NormalWeb"/>
        <w:spacing w:before="120" w:beforeAutospacing="0" w:after="105" w:afterAutospacing="0"/>
        <w:ind w:firstLine="367"/>
        <w:jc w:val="both"/>
      </w:pPr>
      <w:r w:rsidRPr="00A9340A">
        <w:t> Kohlrausch observed that at infinite dilutions, the difference between the conductivities of sodium and potassium salts is constant irrespective of the associated anions, as tabulated below.  </w:t>
      </w:r>
    </w:p>
    <w:p w14:paraId="72225A1C" w14:textId="615948B7" w:rsidR="00535EFD" w:rsidRDefault="00535EFD" w:rsidP="00A9340A">
      <w:pPr>
        <w:pStyle w:val="NormalWeb"/>
        <w:spacing w:before="120" w:beforeAutospacing="0" w:after="105" w:afterAutospacing="0"/>
        <w:ind w:firstLine="367"/>
        <w:jc w:val="both"/>
      </w:pPr>
    </w:p>
    <w:p w14:paraId="39477D88" w14:textId="06A79736" w:rsidR="00535EFD" w:rsidRDefault="00535EFD" w:rsidP="00A9340A">
      <w:pPr>
        <w:pStyle w:val="NormalWeb"/>
        <w:spacing w:before="120" w:beforeAutospacing="0" w:after="105" w:afterAutospacing="0"/>
        <w:ind w:firstLine="367"/>
        <w:jc w:val="both"/>
      </w:pPr>
    </w:p>
    <w:p w14:paraId="6660AD0F" w14:textId="25DC0C5D" w:rsidR="00535EFD" w:rsidRDefault="00535EFD" w:rsidP="00A9340A">
      <w:pPr>
        <w:pStyle w:val="NormalWeb"/>
        <w:spacing w:before="120" w:beforeAutospacing="0" w:after="105" w:afterAutospacing="0"/>
        <w:ind w:firstLine="367"/>
        <w:jc w:val="both"/>
      </w:pPr>
    </w:p>
    <w:p w14:paraId="05D3258E" w14:textId="77777777" w:rsidR="00535EFD" w:rsidRDefault="00535EFD" w:rsidP="00A9340A">
      <w:pPr>
        <w:pStyle w:val="NormalWeb"/>
        <w:spacing w:before="120" w:beforeAutospacing="0" w:after="105" w:afterAutospacing="0"/>
        <w:ind w:firstLine="367"/>
        <w:jc w:val="both"/>
      </w:pPr>
    </w:p>
    <w:p w14:paraId="1C76311B" w14:textId="77777777" w:rsidR="00535EFD" w:rsidRPr="00A9340A" w:rsidRDefault="00535EFD" w:rsidP="00A9340A">
      <w:pPr>
        <w:pStyle w:val="NormalWeb"/>
        <w:spacing w:before="120" w:beforeAutospacing="0" w:after="105" w:afterAutospacing="0"/>
        <w:ind w:firstLine="367"/>
        <w:jc w:val="both"/>
      </w:pPr>
    </w:p>
    <w:p w14:paraId="522882E1" w14:textId="77777777" w:rsidR="00A9340A" w:rsidRPr="00A9340A" w:rsidRDefault="00A9340A" w:rsidP="00A9340A">
      <w:pPr>
        <w:pStyle w:val="NormalWeb"/>
        <w:spacing w:before="120" w:beforeAutospacing="0" w:after="105" w:afterAutospacing="0"/>
        <w:ind w:firstLine="367"/>
        <w:jc w:val="both"/>
      </w:pPr>
      <w:r w:rsidRPr="00A9340A">
        <w:t> </w:t>
      </w:r>
    </w:p>
    <w:tbl>
      <w:tblPr>
        <w:tblW w:w="1450" w:type="pct"/>
        <w:jc w:val="center"/>
        <w:tblCellSpacing w:w="0" w:type="dxa"/>
        <w:tblCellMar>
          <w:top w:w="20" w:type="dxa"/>
          <w:left w:w="20" w:type="dxa"/>
          <w:bottom w:w="20" w:type="dxa"/>
          <w:right w:w="20" w:type="dxa"/>
        </w:tblCellMar>
        <w:tblLook w:val="04A0" w:firstRow="1" w:lastRow="0" w:firstColumn="1" w:lastColumn="0" w:noHBand="0" w:noVBand="1"/>
      </w:tblPr>
      <w:tblGrid>
        <w:gridCol w:w="777"/>
        <w:gridCol w:w="1524"/>
        <w:gridCol w:w="1136"/>
      </w:tblGrid>
      <w:tr w:rsidR="00A9340A" w:rsidRPr="00A9340A" w14:paraId="5F03ED58" w14:textId="77777777" w:rsidTr="00A9340A">
        <w:trPr>
          <w:tblCellSpacing w:w="0" w:type="dxa"/>
          <w:jc w:val="center"/>
        </w:trPr>
        <w:tc>
          <w:tcPr>
            <w:tcW w:w="350" w:type="pct"/>
            <w:tcBorders>
              <w:top w:val="single" w:sz="6" w:space="0" w:color="FF8C00"/>
              <w:left w:val="single" w:sz="6" w:space="0" w:color="FF8C00"/>
              <w:bottom w:val="single" w:sz="6" w:space="0" w:color="FF8C00"/>
              <w:right w:val="single" w:sz="6" w:space="0" w:color="FF8C00"/>
            </w:tcBorders>
            <w:shd w:val="clear" w:color="auto" w:fill="FFDDFC"/>
            <w:vAlign w:val="center"/>
            <w:hideMark/>
          </w:tcPr>
          <w:p w14:paraId="7731E62C"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b/>
                <w:bCs/>
                <w:sz w:val="24"/>
                <w:szCs w:val="24"/>
              </w:rPr>
              <w:lastRenderedPageBreak/>
              <w:t>Salt pair</w:t>
            </w:r>
          </w:p>
        </w:tc>
        <w:tc>
          <w:tcPr>
            <w:tcW w:w="2600" w:type="pct"/>
            <w:tcBorders>
              <w:top w:val="single" w:sz="6" w:space="0" w:color="FF8C00"/>
              <w:left w:val="single" w:sz="6" w:space="0" w:color="FF8C00"/>
              <w:bottom w:val="single" w:sz="6" w:space="0" w:color="FF8C00"/>
              <w:right w:val="single" w:sz="6" w:space="0" w:color="FF8C00"/>
            </w:tcBorders>
            <w:shd w:val="clear" w:color="auto" w:fill="FFDDFC"/>
            <w:vAlign w:val="center"/>
            <w:hideMark/>
          </w:tcPr>
          <w:p w14:paraId="50583087"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b/>
                <w:bCs/>
                <w:sz w:val="24"/>
                <w:szCs w:val="24"/>
              </w:rPr>
              <w:t>Conductivity</w:t>
            </w:r>
            <w:r w:rsidRPr="00A9340A">
              <w:rPr>
                <w:rFonts w:ascii="Times New Roman" w:hAnsi="Times New Roman" w:cs="Times New Roman"/>
                <w:sz w:val="24"/>
                <w:szCs w:val="24"/>
              </w:rPr>
              <w:t>  </w:t>
            </w:r>
            <w:r w:rsidRPr="00A9340A">
              <w:rPr>
                <w:rFonts w:ascii="Times New Roman" w:hAnsi="Times New Roman" w:cs="Times New Roman"/>
                <w:b/>
                <w:bCs/>
                <w:sz w:val="24"/>
                <w:szCs w:val="24"/>
              </w:rPr>
              <w:br/>
              <w:t>(mho cm</w:t>
            </w:r>
            <w:r w:rsidRPr="00A9340A">
              <w:rPr>
                <w:rFonts w:ascii="Times New Roman" w:hAnsi="Times New Roman" w:cs="Times New Roman"/>
                <w:b/>
                <w:bCs/>
                <w:sz w:val="24"/>
                <w:szCs w:val="24"/>
                <w:vertAlign w:val="superscript"/>
              </w:rPr>
              <w:t>2</w:t>
            </w:r>
            <w:r w:rsidRPr="00A9340A">
              <w:rPr>
                <w:rFonts w:ascii="Times New Roman" w:hAnsi="Times New Roman" w:cs="Times New Roman"/>
                <w:b/>
                <w:bCs/>
                <w:sz w:val="24"/>
                <w:szCs w:val="24"/>
              </w:rPr>
              <w:t> </w:t>
            </w:r>
            <w:proofErr w:type="spellStart"/>
            <w:r w:rsidRPr="00A9340A">
              <w:rPr>
                <w:rFonts w:ascii="Times New Roman" w:hAnsi="Times New Roman" w:cs="Times New Roman"/>
                <w:b/>
                <w:bCs/>
                <w:sz w:val="24"/>
                <w:szCs w:val="24"/>
              </w:rPr>
              <w:t>equiv</w:t>
            </w:r>
            <w:proofErr w:type="spellEnd"/>
            <w:r w:rsidRPr="00A9340A">
              <w:rPr>
                <w:rFonts w:ascii="Times New Roman" w:hAnsi="Times New Roman" w:cs="Times New Roman"/>
                <w:b/>
                <w:bCs/>
                <w:sz w:val="24"/>
                <w:szCs w:val="24"/>
              </w:rPr>
              <w:t>)</w:t>
            </w:r>
          </w:p>
        </w:tc>
        <w:tc>
          <w:tcPr>
            <w:tcW w:w="1100" w:type="pct"/>
            <w:tcBorders>
              <w:top w:val="single" w:sz="6" w:space="0" w:color="FF8C00"/>
              <w:left w:val="single" w:sz="6" w:space="0" w:color="FF8C00"/>
              <w:bottom w:val="single" w:sz="6" w:space="0" w:color="FF8C00"/>
              <w:right w:val="single" w:sz="6" w:space="0" w:color="FF8C00"/>
            </w:tcBorders>
            <w:shd w:val="clear" w:color="auto" w:fill="FFDDFC"/>
            <w:vAlign w:val="center"/>
            <w:hideMark/>
          </w:tcPr>
          <w:p w14:paraId="624A7F56"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b/>
                <w:bCs/>
                <w:sz w:val="24"/>
                <w:szCs w:val="24"/>
              </w:rPr>
              <w:t>Difference</w:t>
            </w:r>
          </w:p>
        </w:tc>
      </w:tr>
      <w:tr w:rsidR="00A9340A" w:rsidRPr="00A9340A" w14:paraId="5BFB9B27" w14:textId="77777777" w:rsidTr="00A9340A">
        <w:trPr>
          <w:tblCellSpacing w:w="0" w:type="dxa"/>
          <w:jc w:val="center"/>
        </w:trPr>
        <w:tc>
          <w:tcPr>
            <w:tcW w:w="350" w:type="pct"/>
            <w:tcBorders>
              <w:top w:val="single" w:sz="6" w:space="0" w:color="FF8C00"/>
              <w:left w:val="single" w:sz="6" w:space="0" w:color="FF8C00"/>
              <w:bottom w:val="single" w:sz="6" w:space="0" w:color="FF8C00"/>
              <w:right w:val="single" w:sz="6" w:space="0" w:color="FF8C00"/>
            </w:tcBorders>
            <w:vAlign w:val="center"/>
            <w:hideMark/>
          </w:tcPr>
          <w:p w14:paraId="34B52069"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NaCl</w:t>
            </w:r>
          </w:p>
        </w:tc>
        <w:tc>
          <w:tcPr>
            <w:tcW w:w="2600" w:type="pct"/>
            <w:tcBorders>
              <w:top w:val="single" w:sz="6" w:space="0" w:color="FF8C00"/>
              <w:left w:val="single" w:sz="6" w:space="0" w:color="FF8C00"/>
              <w:bottom w:val="single" w:sz="6" w:space="0" w:color="FF8C00"/>
              <w:right w:val="single" w:sz="6" w:space="0" w:color="FF8C00"/>
            </w:tcBorders>
            <w:vAlign w:val="center"/>
            <w:hideMark/>
          </w:tcPr>
          <w:p w14:paraId="23A93503"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108.90</w:t>
            </w:r>
          </w:p>
        </w:tc>
        <w:tc>
          <w:tcPr>
            <w:tcW w:w="1100" w:type="pct"/>
            <w:vMerge w:val="restart"/>
            <w:tcBorders>
              <w:top w:val="single" w:sz="6" w:space="0" w:color="FF8C00"/>
              <w:left w:val="single" w:sz="6" w:space="0" w:color="FF8C00"/>
              <w:bottom w:val="single" w:sz="6" w:space="0" w:color="FF8C00"/>
              <w:right w:val="single" w:sz="6" w:space="0" w:color="FF8C00"/>
            </w:tcBorders>
            <w:vAlign w:val="center"/>
            <w:hideMark/>
          </w:tcPr>
          <w:p w14:paraId="2D6377E7"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21.20</w:t>
            </w:r>
          </w:p>
        </w:tc>
      </w:tr>
      <w:tr w:rsidR="00A9340A" w:rsidRPr="00A9340A" w14:paraId="3F144BD9" w14:textId="77777777" w:rsidTr="00A9340A">
        <w:trPr>
          <w:tblCellSpacing w:w="0" w:type="dxa"/>
          <w:jc w:val="center"/>
        </w:trPr>
        <w:tc>
          <w:tcPr>
            <w:tcW w:w="350" w:type="pct"/>
            <w:tcBorders>
              <w:top w:val="single" w:sz="6" w:space="0" w:color="FF8C00"/>
              <w:left w:val="single" w:sz="6" w:space="0" w:color="FF8C00"/>
              <w:bottom w:val="single" w:sz="6" w:space="0" w:color="FF8C00"/>
              <w:right w:val="single" w:sz="6" w:space="0" w:color="FF8C00"/>
            </w:tcBorders>
            <w:vAlign w:val="center"/>
            <w:hideMark/>
          </w:tcPr>
          <w:p w14:paraId="5E7C16E2" w14:textId="77777777" w:rsidR="00A9340A" w:rsidRPr="00A9340A" w:rsidRDefault="00A9340A">
            <w:pPr>
              <w:jc w:val="center"/>
              <w:rPr>
                <w:rFonts w:ascii="Times New Roman" w:hAnsi="Times New Roman" w:cs="Times New Roman"/>
                <w:sz w:val="24"/>
                <w:szCs w:val="24"/>
              </w:rPr>
            </w:pPr>
            <w:proofErr w:type="spellStart"/>
            <w:r w:rsidRPr="00A9340A">
              <w:rPr>
                <w:rFonts w:ascii="Times New Roman" w:hAnsi="Times New Roman" w:cs="Times New Roman"/>
                <w:sz w:val="24"/>
                <w:szCs w:val="24"/>
              </w:rPr>
              <w:t>KCl</w:t>
            </w:r>
            <w:proofErr w:type="spellEnd"/>
          </w:p>
        </w:tc>
        <w:tc>
          <w:tcPr>
            <w:tcW w:w="2600" w:type="pct"/>
            <w:tcBorders>
              <w:top w:val="single" w:sz="6" w:space="0" w:color="FF8C00"/>
              <w:left w:val="single" w:sz="6" w:space="0" w:color="FF8C00"/>
              <w:bottom w:val="single" w:sz="6" w:space="0" w:color="FF8C00"/>
              <w:right w:val="single" w:sz="6" w:space="0" w:color="FF8C00"/>
            </w:tcBorders>
            <w:vAlign w:val="center"/>
            <w:hideMark/>
          </w:tcPr>
          <w:p w14:paraId="5986D5A2"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130.10</w:t>
            </w:r>
          </w:p>
        </w:tc>
        <w:tc>
          <w:tcPr>
            <w:tcW w:w="0" w:type="auto"/>
            <w:vMerge/>
            <w:tcBorders>
              <w:top w:val="single" w:sz="6" w:space="0" w:color="FF8C00"/>
              <w:left w:val="single" w:sz="6" w:space="0" w:color="FF8C00"/>
              <w:bottom w:val="single" w:sz="6" w:space="0" w:color="FF8C00"/>
              <w:right w:val="single" w:sz="6" w:space="0" w:color="FF8C00"/>
            </w:tcBorders>
            <w:vAlign w:val="center"/>
            <w:hideMark/>
          </w:tcPr>
          <w:p w14:paraId="24BE9985" w14:textId="77777777" w:rsidR="00A9340A" w:rsidRPr="00A9340A" w:rsidRDefault="00A9340A">
            <w:pPr>
              <w:jc w:val="center"/>
              <w:rPr>
                <w:rFonts w:ascii="Times New Roman" w:hAnsi="Times New Roman" w:cs="Times New Roman"/>
                <w:sz w:val="24"/>
                <w:szCs w:val="24"/>
              </w:rPr>
            </w:pPr>
          </w:p>
        </w:tc>
      </w:tr>
      <w:tr w:rsidR="00A9340A" w:rsidRPr="00A9340A" w14:paraId="4F4D1E1E" w14:textId="77777777" w:rsidTr="00A9340A">
        <w:trPr>
          <w:tblCellSpacing w:w="0" w:type="dxa"/>
          <w:jc w:val="center"/>
        </w:trPr>
        <w:tc>
          <w:tcPr>
            <w:tcW w:w="350" w:type="pct"/>
            <w:tcBorders>
              <w:top w:val="single" w:sz="6" w:space="0" w:color="FF8C00"/>
              <w:left w:val="single" w:sz="6" w:space="0" w:color="FF8C00"/>
              <w:bottom w:val="single" w:sz="6" w:space="0" w:color="FF8C00"/>
              <w:right w:val="single" w:sz="6" w:space="0" w:color="FF8C00"/>
            </w:tcBorders>
            <w:vAlign w:val="center"/>
            <w:hideMark/>
          </w:tcPr>
          <w:p w14:paraId="08AE9715"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 </w:t>
            </w:r>
          </w:p>
        </w:tc>
        <w:tc>
          <w:tcPr>
            <w:tcW w:w="2600" w:type="pct"/>
            <w:tcBorders>
              <w:top w:val="single" w:sz="6" w:space="0" w:color="FF8C00"/>
              <w:left w:val="single" w:sz="6" w:space="0" w:color="FF8C00"/>
              <w:bottom w:val="single" w:sz="6" w:space="0" w:color="FF8C00"/>
              <w:right w:val="single" w:sz="6" w:space="0" w:color="FF8C00"/>
            </w:tcBorders>
            <w:vAlign w:val="center"/>
            <w:hideMark/>
          </w:tcPr>
          <w:p w14:paraId="2CE6AC8A"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 </w:t>
            </w:r>
          </w:p>
        </w:tc>
        <w:tc>
          <w:tcPr>
            <w:tcW w:w="1100" w:type="pct"/>
            <w:tcBorders>
              <w:top w:val="single" w:sz="6" w:space="0" w:color="FF8C00"/>
              <w:left w:val="single" w:sz="6" w:space="0" w:color="FF8C00"/>
              <w:bottom w:val="single" w:sz="6" w:space="0" w:color="FF8C00"/>
              <w:right w:val="single" w:sz="6" w:space="0" w:color="FF8C00"/>
            </w:tcBorders>
            <w:vAlign w:val="center"/>
            <w:hideMark/>
          </w:tcPr>
          <w:p w14:paraId="2875EE8B"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 </w:t>
            </w:r>
          </w:p>
        </w:tc>
      </w:tr>
      <w:tr w:rsidR="00A9340A" w:rsidRPr="00A9340A" w14:paraId="0787BF49" w14:textId="77777777" w:rsidTr="00A9340A">
        <w:trPr>
          <w:tblCellSpacing w:w="0" w:type="dxa"/>
          <w:jc w:val="center"/>
        </w:trPr>
        <w:tc>
          <w:tcPr>
            <w:tcW w:w="350" w:type="pct"/>
            <w:tcBorders>
              <w:top w:val="single" w:sz="6" w:space="0" w:color="FF8C00"/>
              <w:left w:val="single" w:sz="6" w:space="0" w:color="FF8C00"/>
              <w:bottom w:val="single" w:sz="6" w:space="0" w:color="FF8C00"/>
              <w:right w:val="single" w:sz="6" w:space="0" w:color="FF8C00"/>
            </w:tcBorders>
            <w:vAlign w:val="center"/>
            <w:hideMark/>
          </w:tcPr>
          <w:p w14:paraId="5C8933A6"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NaNO</w:t>
            </w:r>
            <w:r w:rsidRPr="00A9340A">
              <w:rPr>
                <w:rFonts w:ascii="Times New Roman" w:hAnsi="Times New Roman" w:cs="Times New Roman"/>
                <w:sz w:val="24"/>
                <w:szCs w:val="24"/>
                <w:vertAlign w:val="subscript"/>
              </w:rPr>
              <w:t>3</w:t>
            </w:r>
          </w:p>
        </w:tc>
        <w:tc>
          <w:tcPr>
            <w:tcW w:w="2600" w:type="pct"/>
            <w:tcBorders>
              <w:top w:val="single" w:sz="6" w:space="0" w:color="FF8C00"/>
              <w:left w:val="single" w:sz="6" w:space="0" w:color="FF8C00"/>
              <w:bottom w:val="single" w:sz="6" w:space="0" w:color="FF8C00"/>
              <w:right w:val="single" w:sz="6" w:space="0" w:color="FF8C00"/>
            </w:tcBorders>
            <w:vAlign w:val="center"/>
            <w:hideMark/>
          </w:tcPr>
          <w:p w14:paraId="168F3D7A"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105.33</w:t>
            </w:r>
          </w:p>
        </w:tc>
        <w:tc>
          <w:tcPr>
            <w:tcW w:w="1100" w:type="pct"/>
            <w:vMerge w:val="restart"/>
            <w:tcBorders>
              <w:top w:val="single" w:sz="6" w:space="0" w:color="FF8C00"/>
              <w:left w:val="single" w:sz="6" w:space="0" w:color="FF8C00"/>
              <w:bottom w:val="single" w:sz="6" w:space="0" w:color="FF8C00"/>
              <w:right w:val="single" w:sz="6" w:space="0" w:color="FF8C00"/>
            </w:tcBorders>
            <w:vAlign w:val="center"/>
            <w:hideMark/>
          </w:tcPr>
          <w:p w14:paraId="10362074"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21.17</w:t>
            </w:r>
          </w:p>
        </w:tc>
      </w:tr>
      <w:tr w:rsidR="00A9340A" w:rsidRPr="00A9340A" w14:paraId="0A046D09" w14:textId="77777777" w:rsidTr="00A9340A">
        <w:trPr>
          <w:tblCellSpacing w:w="0" w:type="dxa"/>
          <w:jc w:val="center"/>
        </w:trPr>
        <w:tc>
          <w:tcPr>
            <w:tcW w:w="350" w:type="pct"/>
            <w:tcBorders>
              <w:top w:val="single" w:sz="6" w:space="0" w:color="FF8C00"/>
              <w:left w:val="single" w:sz="6" w:space="0" w:color="FF8C00"/>
              <w:bottom w:val="single" w:sz="6" w:space="0" w:color="FF8C00"/>
              <w:right w:val="single" w:sz="6" w:space="0" w:color="FF8C00"/>
            </w:tcBorders>
            <w:vAlign w:val="center"/>
            <w:hideMark/>
          </w:tcPr>
          <w:p w14:paraId="7DC20F62"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KNO</w:t>
            </w:r>
            <w:r w:rsidRPr="00A9340A">
              <w:rPr>
                <w:rFonts w:ascii="Times New Roman" w:hAnsi="Times New Roman" w:cs="Times New Roman"/>
                <w:sz w:val="24"/>
                <w:szCs w:val="24"/>
                <w:vertAlign w:val="subscript"/>
              </w:rPr>
              <w:t>3</w:t>
            </w:r>
          </w:p>
        </w:tc>
        <w:tc>
          <w:tcPr>
            <w:tcW w:w="2600" w:type="pct"/>
            <w:tcBorders>
              <w:top w:val="single" w:sz="6" w:space="0" w:color="FF8C00"/>
              <w:left w:val="single" w:sz="6" w:space="0" w:color="FF8C00"/>
              <w:bottom w:val="single" w:sz="6" w:space="0" w:color="FF8C00"/>
              <w:right w:val="single" w:sz="6" w:space="0" w:color="FF8C00"/>
            </w:tcBorders>
            <w:vAlign w:val="center"/>
            <w:hideMark/>
          </w:tcPr>
          <w:p w14:paraId="18D527D4"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126.50</w:t>
            </w:r>
          </w:p>
        </w:tc>
        <w:tc>
          <w:tcPr>
            <w:tcW w:w="0" w:type="auto"/>
            <w:vMerge/>
            <w:tcBorders>
              <w:top w:val="single" w:sz="6" w:space="0" w:color="FF8C00"/>
              <w:left w:val="single" w:sz="6" w:space="0" w:color="FF8C00"/>
              <w:bottom w:val="single" w:sz="6" w:space="0" w:color="FF8C00"/>
              <w:right w:val="single" w:sz="6" w:space="0" w:color="FF8C00"/>
            </w:tcBorders>
            <w:vAlign w:val="center"/>
            <w:hideMark/>
          </w:tcPr>
          <w:p w14:paraId="4465A1FE" w14:textId="77777777" w:rsidR="00A9340A" w:rsidRPr="00A9340A" w:rsidRDefault="00A9340A">
            <w:pPr>
              <w:jc w:val="center"/>
              <w:rPr>
                <w:rFonts w:ascii="Times New Roman" w:hAnsi="Times New Roman" w:cs="Times New Roman"/>
                <w:sz w:val="24"/>
                <w:szCs w:val="24"/>
              </w:rPr>
            </w:pPr>
          </w:p>
        </w:tc>
      </w:tr>
      <w:tr w:rsidR="00A9340A" w:rsidRPr="00A9340A" w14:paraId="492B9E99" w14:textId="77777777" w:rsidTr="00A9340A">
        <w:trPr>
          <w:tblCellSpacing w:w="0" w:type="dxa"/>
          <w:jc w:val="center"/>
        </w:trPr>
        <w:tc>
          <w:tcPr>
            <w:tcW w:w="350" w:type="pct"/>
            <w:tcBorders>
              <w:top w:val="single" w:sz="6" w:space="0" w:color="FF8C00"/>
              <w:left w:val="single" w:sz="6" w:space="0" w:color="FF8C00"/>
              <w:bottom w:val="single" w:sz="6" w:space="0" w:color="FF8C00"/>
              <w:right w:val="single" w:sz="6" w:space="0" w:color="FF8C00"/>
            </w:tcBorders>
            <w:vAlign w:val="center"/>
            <w:hideMark/>
          </w:tcPr>
          <w:p w14:paraId="66D7AAFD"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 </w:t>
            </w:r>
          </w:p>
        </w:tc>
        <w:tc>
          <w:tcPr>
            <w:tcW w:w="2600" w:type="pct"/>
            <w:tcBorders>
              <w:top w:val="single" w:sz="6" w:space="0" w:color="FF8C00"/>
              <w:left w:val="single" w:sz="6" w:space="0" w:color="FF8C00"/>
              <w:bottom w:val="single" w:sz="6" w:space="0" w:color="FF8C00"/>
              <w:right w:val="single" w:sz="6" w:space="0" w:color="FF8C00"/>
            </w:tcBorders>
            <w:vAlign w:val="center"/>
            <w:hideMark/>
          </w:tcPr>
          <w:p w14:paraId="7AC79901"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 </w:t>
            </w:r>
          </w:p>
        </w:tc>
        <w:tc>
          <w:tcPr>
            <w:tcW w:w="1100" w:type="pct"/>
            <w:tcBorders>
              <w:top w:val="single" w:sz="6" w:space="0" w:color="FF8C00"/>
              <w:left w:val="single" w:sz="6" w:space="0" w:color="FF8C00"/>
              <w:bottom w:val="single" w:sz="6" w:space="0" w:color="FF8C00"/>
              <w:right w:val="single" w:sz="6" w:space="0" w:color="FF8C00"/>
            </w:tcBorders>
            <w:vAlign w:val="center"/>
            <w:hideMark/>
          </w:tcPr>
          <w:p w14:paraId="5645A72F"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 </w:t>
            </w:r>
          </w:p>
        </w:tc>
      </w:tr>
      <w:tr w:rsidR="00A9340A" w:rsidRPr="00A9340A" w14:paraId="5930D70F" w14:textId="77777777" w:rsidTr="00A9340A">
        <w:trPr>
          <w:tblCellSpacing w:w="0" w:type="dxa"/>
          <w:jc w:val="center"/>
        </w:trPr>
        <w:tc>
          <w:tcPr>
            <w:tcW w:w="350" w:type="pct"/>
            <w:tcBorders>
              <w:top w:val="single" w:sz="6" w:space="0" w:color="FF8C00"/>
              <w:left w:val="single" w:sz="6" w:space="0" w:color="FF8C00"/>
              <w:bottom w:val="single" w:sz="6" w:space="0" w:color="FF8C00"/>
              <w:right w:val="single" w:sz="6" w:space="0" w:color="FF8C00"/>
            </w:tcBorders>
            <w:vAlign w:val="center"/>
            <w:hideMark/>
          </w:tcPr>
          <w:p w14:paraId="29703C55" w14:textId="77777777" w:rsidR="00A9340A" w:rsidRPr="00A9340A" w:rsidRDefault="00A9340A">
            <w:pPr>
              <w:jc w:val="center"/>
              <w:rPr>
                <w:rFonts w:ascii="Times New Roman" w:hAnsi="Times New Roman" w:cs="Times New Roman"/>
                <w:sz w:val="24"/>
                <w:szCs w:val="24"/>
              </w:rPr>
            </w:pPr>
            <w:proofErr w:type="spellStart"/>
            <w:r w:rsidRPr="00A9340A">
              <w:rPr>
                <w:rFonts w:ascii="Times New Roman" w:hAnsi="Times New Roman" w:cs="Times New Roman"/>
                <w:sz w:val="24"/>
                <w:szCs w:val="24"/>
              </w:rPr>
              <w:t>NaBr</w:t>
            </w:r>
            <w:proofErr w:type="spellEnd"/>
          </w:p>
        </w:tc>
        <w:tc>
          <w:tcPr>
            <w:tcW w:w="2600" w:type="pct"/>
            <w:tcBorders>
              <w:top w:val="single" w:sz="6" w:space="0" w:color="FF8C00"/>
              <w:left w:val="single" w:sz="6" w:space="0" w:color="FF8C00"/>
              <w:bottom w:val="single" w:sz="6" w:space="0" w:color="FF8C00"/>
              <w:right w:val="single" w:sz="6" w:space="0" w:color="FF8C00"/>
            </w:tcBorders>
            <w:vAlign w:val="center"/>
            <w:hideMark/>
          </w:tcPr>
          <w:p w14:paraId="51C7602B"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111.10</w:t>
            </w:r>
          </w:p>
        </w:tc>
        <w:tc>
          <w:tcPr>
            <w:tcW w:w="1100" w:type="pct"/>
            <w:vMerge w:val="restart"/>
            <w:tcBorders>
              <w:top w:val="single" w:sz="6" w:space="0" w:color="FF8C00"/>
              <w:left w:val="single" w:sz="6" w:space="0" w:color="FF8C00"/>
              <w:bottom w:val="single" w:sz="6" w:space="0" w:color="FF8C00"/>
              <w:right w:val="single" w:sz="6" w:space="0" w:color="FF8C00"/>
            </w:tcBorders>
            <w:vAlign w:val="center"/>
            <w:hideMark/>
          </w:tcPr>
          <w:p w14:paraId="68C142E9"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21.20</w:t>
            </w:r>
          </w:p>
        </w:tc>
      </w:tr>
      <w:tr w:rsidR="00A9340A" w:rsidRPr="00A9340A" w14:paraId="3957A6F7" w14:textId="77777777" w:rsidTr="00A9340A">
        <w:trPr>
          <w:tblCellSpacing w:w="0" w:type="dxa"/>
          <w:jc w:val="center"/>
        </w:trPr>
        <w:tc>
          <w:tcPr>
            <w:tcW w:w="350" w:type="pct"/>
            <w:tcBorders>
              <w:top w:val="single" w:sz="6" w:space="0" w:color="FF8C00"/>
              <w:left w:val="single" w:sz="6" w:space="0" w:color="FF8C00"/>
              <w:bottom w:val="single" w:sz="6" w:space="0" w:color="FF8C00"/>
              <w:right w:val="single" w:sz="6" w:space="0" w:color="FF8C00"/>
            </w:tcBorders>
            <w:vAlign w:val="center"/>
            <w:hideMark/>
          </w:tcPr>
          <w:p w14:paraId="41B7424D"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KBr</w:t>
            </w:r>
          </w:p>
        </w:tc>
        <w:tc>
          <w:tcPr>
            <w:tcW w:w="2600" w:type="pct"/>
            <w:tcBorders>
              <w:top w:val="single" w:sz="6" w:space="0" w:color="FF8C00"/>
              <w:left w:val="single" w:sz="6" w:space="0" w:color="FF8C00"/>
              <w:bottom w:val="single" w:sz="6" w:space="0" w:color="FF8C00"/>
              <w:right w:val="single" w:sz="6" w:space="0" w:color="FF8C00"/>
            </w:tcBorders>
            <w:vAlign w:val="center"/>
            <w:hideMark/>
          </w:tcPr>
          <w:p w14:paraId="2E77545F" w14:textId="77777777" w:rsidR="00A9340A" w:rsidRPr="00A9340A" w:rsidRDefault="00A9340A">
            <w:pPr>
              <w:jc w:val="center"/>
              <w:rPr>
                <w:rFonts w:ascii="Times New Roman" w:hAnsi="Times New Roman" w:cs="Times New Roman"/>
                <w:sz w:val="24"/>
                <w:szCs w:val="24"/>
              </w:rPr>
            </w:pPr>
            <w:r w:rsidRPr="00A9340A">
              <w:rPr>
                <w:rFonts w:ascii="Times New Roman" w:hAnsi="Times New Roman" w:cs="Times New Roman"/>
                <w:sz w:val="24"/>
                <w:szCs w:val="24"/>
              </w:rPr>
              <w:t>132.30</w:t>
            </w:r>
          </w:p>
        </w:tc>
        <w:tc>
          <w:tcPr>
            <w:tcW w:w="0" w:type="auto"/>
            <w:vMerge/>
            <w:tcBorders>
              <w:top w:val="single" w:sz="6" w:space="0" w:color="FF8C00"/>
              <w:left w:val="single" w:sz="6" w:space="0" w:color="FF8C00"/>
              <w:bottom w:val="single" w:sz="6" w:space="0" w:color="FF8C00"/>
              <w:right w:val="single" w:sz="6" w:space="0" w:color="FF8C00"/>
            </w:tcBorders>
            <w:vAlign w:val="center"/>
            <w:hideMark/>
          </w:tcPr>
          <w:p w14:paraId="32EC9688" w14:textId="77777777" w:rsidR="00A9340A" w:rsidRPr="00A9340A" w:rsidRDefault="00A9340A">
            <w:pPr>
              <w:jc w:val="center"/>
              <w:rPr>
                <w:rFonts w:ascii="Times New Roman" w:hAnsi="Times New Roman" w:cs="Times New Roman"/>
                <w:sz w:val="24"/>
                <w:szCs w:val="24"/>
              </w:rPr>
            </w:pPr>
          </w:p>
        </w:tc>
      </w:tr>
    </w:tbl>
    <w:p w14:paraId="72AD171C" w14:textId="77777777" w:rsidR="00A9340A" w:rsidRPr="00A9340A" w:rsidRDefault="00A9340A" w:rsidP="00A9340A">
      <w:pPr>
        <w:pStyle w:val="NormalWeb"/>
        <w:spacing w:before="120" w:beforeAutospacing="0" w:after="105" w:afterAutospacing="0"/>
        <w:ind w:firstLine="367"/>
        <w:jc w:val="both"/>
      </w:pPr>
      <w:r w:rsidRPr="00A9340A">
        <w:t> </w:t>
      </w:r>
    </w:p>
    <w:p w14:paraId="7BCDA06D" w14:textId="48F2E84D" w:rsidR="00A9340A" w:rsidRDefault="00A9340A" w:rsidP="00A9340A">
      <w:pPr>
        <w:pStyle w:val="NormalWeb"/>
        <w:spacing w:before="120" w:beforeAutospacing="0" w:after="105" w:afterAutospacing="0"/>
        <w:ind w:firstLine="367"/>
        <w:jc w:val="both"/>
      </w:pPr>
      <w:r w:rsidRPr="00A9340A">
        <w:t>Kohlrausch argued that the constant difference in the conductivities of above pairs can be ascribed to the fact that the mobility of sodium and potassium ions at infinite dilution is not influenced by the nature of counter ions. The ions at such a low concentration migrate in the electric field as they are independent i.e., they show same ionic conductance irrespective of the nature of counter ion.</w:t>
      </w:r>
    </w:p>
    <w:p w14:paraId="29C6AD3D" w14:textId="77777777" w:rsidR="00535EFD" w:rsidRDefault="00535EFD" w:rsidP="00A9340A">
      <w:pPr>
        <w:pStyle w:val="NormalWeb"/>
        <w:spacing w:before="120" w:beforeAutospacing="0" w:after="105" w:afterAutospacing="0"/>
        <w:ind w:firstLine="367"/>
        <w:jc w:val="both"/>
      </w:pPr>
    </w:p>
    <w:p w14:paraId="4183EE68" w14:textId="14562C6C" w:rsidR="00535EFD" w:rsidRPr="00535EFD" w:rsidRDefault="00535EFD" w:rsidP="00535EFD">
      <w:pPr>
        <w:pStyle w:val="NormalWeb"/>
        <w:spacing w:before="120" w:beforeAutospacing="0" w:after="105" w:afterAutospacing="0"/>
        <w:ind w:firstLine="367"/>
        <w:jc w:val="both"/>
        <w:rPr>
          <w:b/>
          <w:bCs/>
        </w:rPr>
      </w:pPr>
      <w:r w:rsidRPr="00535EFD">
        <w:rPr>
          <w:b/>
          <w:bCs/>
        </w:rPr>
        <w:t xml:space="preserve">Application of </w:t>
      </w:r>
      <w:r w:rsidRPr="00535EFD">
        <w:rPr>
          <w:b/>
          <w:bCs/>
        </w:rPr>
        <w:t>the Kohlrausch law:</w:t>
      </w:r>
    </w:p>
    <w:p w14:paraId="264E7392" w14:textId="7D5DD8E1" w:rsidR="00535EFD" w:rsidRPr="00A9340A" w:rsidRDefault="00535EFD" w:rsidP="00A9340A">
      <w:pPr>
        <w:pStyle w:val="NormalWeb"/>
        <w:spacing w:before="120" w:beforeAutospacing="0" w:after="105" w:afterAutospacing="0"/>
        <w:ind w:firstLine="367"/>
        <w:jc w:val="both"/>
      </w:pPr>
    </w:p>
    <w:p w14:paraId="1A907E0B" w14:textId="77777777" w:rsidR="00A9340A" w:rsidRPr="00A9340A" w:rsidRDefault="00A9340A" w:rsidP="00A9340A">
      <w:pPr>
        <w:pStyle w:val="NormalWeb"/>
        <w:spacing w:before="120" w:beforeAutospacing="0" w:after="105" w:afterAutospacing="0"/>
        <w:ind w:firstLine="367"/>
        <w:jc w:val="both"/>
      </w:pPr>
      <w:r w:rsidRPr="00A9340A">
        <w:rPr>
          <w:b/>
          <w:bCs/>
        </w:rPr>
        <w:t>1) Calculation of limiting conductivities of weak electrolytes:</w:t>
      </w:r>
      <w:r w:rsidRPr="00A9340A">
        <w:t> The Kohlrausch law can be used to calculate the limiting conductivities of weak electrolytes. </w:t>
      </w:r>
    </w:p>
    <w:p w14:paraId="34403CFF" w14:textId="77777777" w:rsidR="00A9340A" w:rsidRPr="00A9340A" w:rsidRDefault="00A9340A" w:rsidP="00A9340A">
      <w:pPr>
        <w:pStyle w:val="NormalWeb"/>
        <w:spacing w:before="120" w:beforeAutospacing="0" w:after="105" w:afterAutospacing="0"/>
        <w:ind w:firstLine="367"/>
        <w:jc w:val="both"/>
      </w:pPr>
      <w:r w:rsidRPr="00A9340A">
        <w:t>E.g., The calculation of limiting equivalent conductance of acetic acid, a weak electrolyte is illustrated below.</w:t>
      </w:r>
    </w:p>
    <w:p w14:paraId="1F70C3AD" w14:textId="77777777" w:rsidR="00A9340A" w:rsidRPr="00A9340A" w:rsidRDefault="00A9340A" w:rsidP="00A9340A">
      <w:pPr>
        <w:pStyle w:val="NormalWeb"/>
        <w:spacing w:before="120" w:beforeAutospacing="0" w:after="105" w:afterAutospacing="0"/>
        <w:ind w:firstLine="367"/>
        <w:jc w:val="both"/>
      </w:pPr>
      <w:r w:rsidRPr="00A9340A">
        <w:t>According to Kohlrausch law, the limiting equivalent conductance values of CH</w:t>
      </w:r>
      <w:r w:rsidRPr="00A9340A">
        <w:rPr>
          <w:vertAlign w:val="subscript"/>
        </w:rPr>
        <w:t>3</w:t>
      </w:r>
      <w:r w:rsidRPr="00A9340A">
        <w:t>COOH, CH</w:t>
      </w:r>
      <w:r w:rsidRPr="00A9340A">
        <w:rPr>
          <w:vertAlign w:val="subscript"/>
        </w:rPr>
        <w:t>3</w:t>
      </w:r>
      <w:r w:rsidRPr="00A9340A">
        <w:t>COONa, HCl and NaCl can be written as follows:</w:t>
      </w:r>
    </w:p>
    <w:p w14:paraId="440F90CD" w14:textId="49AD21BC" w:rsidR="00A9340A" w:rsidRPr="00A9340A" w:rsidRDefault="00A9340A" w:rsidP="00A9340A">
      <w:pPr>
        <w:pStyle w:val="ind"/>
        <w:spacing w:before="120" w:beforeAutospacing="0" w:after="105" w:afterAutospacing="0"/>
        <w:ind w:firstLine="734"/>
        <w:jc w:val="both"/>
      </w:pPr>
      <w:r w:rsidRPr="00A9340A">
        <w:rPr>
          <w:noProof/>
        </w:rPr>
        <w:drawing>
          <wp:inline distT="0" distB="0" distL="0" distR="0" wp14:anchorId="795B9A36" wp14:editId="5E8905B7">
            <wp:extent cx="2076450" cy="1162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162050"/>
                    </a:xfrm>
                    <a:prstGeom prst="rect">
                      <a:avLst/>
                    </a:prstGeom>
                    <a:noFill/>
                    <a:ln>
                      <a:noFill/>
                    </a:ln>
                  </pic:spPr>
                </pic:pic>
              </a:graphicData>
            </a:graphic>
          </wp:inline>
        </w:drawing>
      </w:r>
    </w:p>
    <w:p w14:paraId="2432D0DB" w14:textId="77777777" w:rsidR="00A9340A" w:rsidRPr="00A9340A" w:rsidRDefault="00A9340A" w:rsidP="00A9340A">
      <w:pPr>
        <w:pStyle w:val="NormalWeb"/>
        <w:spacing w:before="120" w:beforeAutospacing="0" w:after="105" w:afterAutospacing="0"/>
        <w:ind w:firstLine="367"/>
        <w:jc w:val="both"/>
      </w:pPr>
      <w:r w:rsidRPr="00A9340A">
        <w:t>Therefore</w:t>
      </w:r>
    </w:p>
    <w:p w14:paraId="4C8326DE" w14:textId="11AF6526" w:rsidR="00A9340A" w:rsidRPr="00A9340A" w:rsidRDefault="00A9340A" w:rsidP="00A9340A">
      <w:pPr>
        <w:pStyle w:val="ind"/>
        <w:spacing w:before="120" w:beforeAutospacing="0" w:after="105" w:afterAutospacing="0"/>
        <w:ind w:firstLine="734"/>
        <w:jc w:val="both"/>
      </w:pPr>
      <w:r w:rsidRPr="00A9340A">
        <w:rPr>
          <w:noProof/>
        </w:rPr>
        <w:drawing>
          <wp:inline distT="0" distB="0" distL="0" distR="0" wp14:anchorId="4A37F4C4" wp14:editId="22076B62">
            <wp:extent cx="2717800" cy="2667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0" cy="266700"/>
                    </a:xfrm>
                    <a:prstGeom prst="rect">
                      <a:avLst/>
                    </a:prstGeom>
                    <a:noFill/>
                    <a:ln>
                      <a:noFill/>
                    </a:ln>
                  </pic:spPr>
                </pic:pic>
              </a:graphicData>
            </a:graphic>
          </wp:inline>
        </w:drawing>
      </w:r>
    </w:p>
    <w:p w14:paraId="5E76ED29" w14:textId="77777777" w:rsidR="00A9340A" w:rsidRPr="00A9340A" w:rsidRDefault="00A9340A" w:rsidP="00A9340A">
      <w:pPr>
        <w:pStyle w:val="NormalWeb"/>
        <w:spacing w:before="120" w:beforeAutospacing="0" w:after="105" w:afterAutospacing="0"/>
        <w:ind w:firstLine="367"/>
        <w:jc w:val="both"/>
      </w:pPr>
      <w:r w:rsidRPr="00A9340A">
        <w:lastRenderedPageBreak/>
        <w:t> </w:t>
      </w:r>
      <w:r w:rsidRPr="00A9340A">
        <w:rPr>
          <w:b/>
          <w:bCs/>
        </w:rPr>
        <w:t>2) Determination of degree of ionization (α) of weak electrolyte: </w:t>
      </w:r>
      <w:r w:rsidRPr="00A9340A">
        <w:t>The degree of ionization of a weak electrolyte at a particular concentration is equal to the ratio of actual number of ions formed due to partial ionization to the expected number of ions formed upon complete dissociation. </w:t>
      </w:r>
    </w:p>
    <w:p w14:paraId="137527EC" w14:textId="4730465B" w:rsidR="00A9340A" w:rsidRPr="00A9340A" w:rsidRDefault="00A9340A" w:rsidP="00A9340A">
      <w:pPr>
        <w:pStyle w:val="ind"/>
        <w:spacing w:before="120" w:beforeAutospacing="0" w:after="105" w:afterAutospacing="0"/>
        <w:ind w:firstLine="734"/>
        <w:jc w:val="both"/>
      </w:pPr>
      <w:r w:rsidRPr="00A9340A">
        <w:rPr>
          <w:noProof/>
        </w:rPr>
        <w:drawing>
          <wp:inline distT="0" distB="0" distL="0" distR="0" wp14:anchorId="5FB5D373" wp14:editId="71F10A97">
            <wp:extent cx="4089400" cy="4000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0" cy="400050"/>
                    </a:xfrm>
                    <a:prstGeom prst="rect">
                      <a:avLst/>
                    </a:prstGeom>
                    <a:noFill/>
                    <a:ln>
                      <a:noFill/>
                    </a:ln>
                  </pic:spPr>
                </pic:pic>
              </a:graphicData>
            </a:graphic>
          </wp:inline>
        </w:drawing>
      </w:r>
    </w:p>
    <w:p w14:paraId="10893D0A" w14:textId="77777777" w:rsidR="00A9340A" w:rsidRPr="00A9340A" w:rsidRDefault="00A9340A" w:rsidP="00A9340A">
      <w:pPr>
        <w:pStyle w:val="NormalWeb"/>
        <w:spacing w:before="120" w:beforeAutospacing="0" w:after="105" w:afterAutospacing="0"/>
        <w:ind w:firstLine="367"/>
        <w:jc w:val="both"/>
      </w:pPr>
      <w:r w:rsidRPr="00A9340A">
        <w:t>Since the conductance is proportional to the number of ions in the solution, the degree of ionization is equal to the conductance ratio as given below. </w:t>
      </w:r>
    </w:p>
    <w:p w14:paraId="7BF753DD" w14:textId="5E1667A5" w:rsidR="00A9340A" w:rsidRPr="00A9340A" w:rsidRDefault="00A9340A" w:rsidP="00A9340A">
      <w:pPr>
        <w:pStyle w:val="ind"/>
        <w:spacing w:before="120" w:beforeAutospacing="0" w:after="105" w:afterAutospacing="0"/>
        <w:ind w:firstLine="734"/>
        <w:jc w:val="both"/>
      </w:pPr>
      <w:r w:rsidRPr="00A9340A">
        <w:rPr>
          <w:noProof/>
        </w:rPr>
        <w:drawing>
          <wp:inline distT="0" distB="0" distL="0" distR="0" wp14:anchorId="5D7DD138" wp14:editId="7259120D">
            <wp:extent cx="1295400" cy="425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425450"/>
                    </a:xfrm>
                    <a:prstGeom prst="rect">
                      <a:avLst/>
                    </a:prstGeom>
                    <a:noFill/>
                    <a:ln>
                      <a:noFill/>
                    </a:ln>
                  </pic:spPr>
                </pic:pic>
              </a:graphicData>
            </a:graphic>
          </wp:inline>
        </w:drawing>
      </w:r>
    </w:p>
    <w:p w14:paraId="5A593E11" w14:textId="77777777" w:rsidR="00A9340A" w:rsidRPr="00A9340A" w:rsidRDefault="00A9340A" w:rsidP="00A9340A">
      <w:pPr>
        <w:pStyle w:val="NormalWeb"/>
        <w:spacing w:before="120" w:beforeAutospacing="0" w:after="105" w:afterAutospacing="0"/>
        <w:ind w:firstLine="367"/>
        <w:jc w:val="both"/>
      </w:pPr>
      <w:proofErr w:type="gramStart"/>
      <w:r w:rsidRPr="00A9340A">
        <w:t>Where</w:t>
      </w:r>
      <w:proofErr w:type="gramEnd"/>
      <w:r w:rsidRPr="00A9340A">
        <w:t> </w:t>
      </w:r>
    </w:p>
    <w:p w14:paraId="2CAF0AE3" w14:textId="77777777" w:rsidR="00A9340A" w:rsidRPr="00A9340A" w:rsidRDefault="00A9340A" w:rsidP="00A9340A">
      <w:pPr>
        <w:pStyle w:val="ind"/>
        <w:spacing w:before="120" w:beforeAutospacing="0" w:after="105" w:afterAutospacing="0"/>
        <w:ind w:firstLine="734"/>
        <w:jc w:val="both"/>
      </w:pPr>
      <w:proofErr w:type="spellStart"/>
      <w:r w:rsidRPr="00A9340A">
        <w:t>Λ</w:t>
      </w:r>
      <w:r w:rsidRPr="00A9340A">
        <w:rPr>
          <w:vertAlign w:val="subscript"/>
        </w:rPr>
        <w:t>c</w:t>
      </w:r>
      <w:proofErr w:type="spellEnd"/>
      <w:r w:rsidRPr="00A9340A">
        <w:t>= equivalent conductivity at given concentration. </w:t>
      </w:r>
    </w:p>
    <w:p w14:paraId="524171D8" w14:textId="77777777" w:rsidR="00A9340A" w:rsidRPr="00A9340A" w:rsidRDefault="00A9340A" w:rsidP="00A9340A">
      <w:pPr>
        <w:pStyle w:val="ind"/>
        <w:spacing w:before="120" w:beforeAutospacing="0" w:after="105" w:afterAutospacing="0"/>
        <w:ind w:firstLine="734"/>
        <w:jc w:val="both"/>
      </w:pPr>
      <w:proofErr w:type="spellStart"/>
      <w:r w:rsidRPr="00A9340A">
        <w:t>Λ</w:t>
      </w:r>
      <w:r w:rsidRPr="00A9340A">
        <w:rPr>
          <w:vertAlign w:val="subscript"/>
        </w:rPr>
        <w:t>o</w:t>
      </w:r>
      <w:proofErr w:type="spellEnd"/>
      <w:r w:rsidRPr="00A9340A">
        <w:t>= limiting equivalent conductivity.</w:t>
      </w:r>
    </w:p>
    <w:p w14:paraId="33B93AF8" w14:textId="3CF81ECA" w:rsidR="00A9340A" w:rsidRPr="00A9340A" w:rsidRDefault="00535EFD" w:rsidP="00A9340A">
      <w:pPr>
        <w:pStyle w:val="ind"/>
        <w:spacing w:before="120" w:beforeAutospacing="0" w:after="105" w:afterAutospacing="0"/>
        <w:ind w:firstLine="734"/>
        <w:jc w:val="both"/>
      </w:pPr>
      <w:proofErr w:type="spellStart"/>
      <w:r w:rsidRPr="00A9340A">
        <w:t>Λ</w:t>
      </w:r>
      <w:r w:rsidR="00A9340A" w:rsidRPr="00A9340A">
        <w:rPr>
          <w:vertAlign w:val="subscript"/>
        </w:rPr>
        <w:t>o</w:t>
      </w:r>
      <w:proofErr w:type="spellEnd"/>
      <w:r w:rsidR="00A9340A" w:rsidRPr="00A9340A">
        <w:rPr>
          <w:vertAlign w:val="superscript"/>
        </w:rPr>
        <w:t>+</w:t>
      </w:r>
      <w:r w:rsidR="00A9340A" w:rsidRPr="00A9340A">
        <w:t> = limiting equivalent conductivity of cation.</w:t>
      </w:r>
    </w:p>
    <w:p w14:paraId="64180B37" w14:textId="4EA59502" w:rsidR="00A9340A" w:rsidRPr="00A9340A" w:rsidRDefault="00535EFD" w:rsidP="00A9340A">
      <w:pPr>
        <w:pStyle w:val="ind"/>
        <w:spacing w:before="120" w:beforeAutospacing="0" w:after="105" w:afterAutospacing="0"/>
        <w:ind w:firstLine="734"/>
        <w:jc w:val="both"/>
      </w:pPr>
      <w:proofErr w:type="spellStart"/>
      <w:r w:rsidRPr="00A9340A">
        <w:t>Λ</w:t>
      </w:r>
      <w:r w:rsidR="00A9340A" w:rsidRPr="00A9340A">
        <w:rPr>
          <w:vertAlign w:val="subscript"/>
        </w:rPr>
        <w:t>o</w:t>
      </w:r>
      <w:proofErr w:type="spellEnd"/>
      <w:r w:rsidR="00A9340A" w:rsidRPr="00A9340A">
        <w:rPr>
          <w:vertAlign w:val="superscript"/>
        </w:rPr>
        <w:t>-</w:t>
      </w:r>
      <w:r w:rsidR="00A9340A" w:rsidRPr="00A9340A">
        <w:t> = limiting equivalent conductivity of anion.</w:t>
      </w:r>
    </w:p>
    <w:p w14:paraId="36B94A90" w14:textId="718CB064" w:rsidR="005E09F7" w:rsidRPr="00A9340A" w:rsidRDefault="005E09F7">
      <w:pPr>
        <w:rPr>
          <w:rFonts w:ascii="Times New Roman" w:hAnsi="Times New Roman" w:cs="Times New Roman"/>
          <w:sz w:val="24"/>
          <w:szCs w:val="24"/>
        </w:rPr>
      </w:pPr>
    </w:p>
    <w:p w14:paraId="3D57E39D" w14:textId="2D46C830" w:rsidR="005E09F7" w:rsidRDefault="005E09F7"/>
    <w:p w14:paraId="0F7A936F" w14:textId="6C76D36D" w:rsidR="005E09F7" w:rsidRDefault="005E09F7"/>
    <w:p w14:paraId="2599EF17" w14:textId="6BE02F33" w:rsidR="005E09F7" w:rsidRDefault="00535EFD" w:rsidP="00535EFD">
      <w:pPr>
        <w:jc w:val="center"/>
      </w:pPr>
      <w:r>
        <w:t>********</w:t>
      </w:r>
    </w:p>
    <w:p w14:paraId="54FCB0D7" w14:textId="7D18FE7F" w:rsidR="005E09F7" w:rsidRDefault="005E09F7"/>
    <w:p w14:paraId="42E83889" w14:textId="61CDB6E9" w:rsidR="005E09F7" w:rsidRDefault="005E09F7"/>
    <w:p w14:paraId="2BEEEC00" w14:textId="07E0904C" w:rsidR="005E09F7" w:rsidRDefault="005E09F7"/>
    <w:p w14:paraId="4D0C7459" w14:textId="71D851C5" w:rsidR="005E09F7" w:rsidRDefault="005E09F7"/>
    <w:p w14:paraId="12C5F1CC" w14:textId="4ED9E312" w:rsidR="005E09F7" w:rsidRDefault="005E09F7"/>
    <w:p w14:paraId="17E8F9B7" w14:textId="5FC0A297" w:rsidR="005E09F7" w:rsidRDefault="005E09F7"/>
    <w:p w14:paraId="7C2A7523" w14:textId="03DCAA58" w:rsidR="005E09F7" w:rsidRDefault="005E09F7"/>
    <w:p w14:paraId="437F915D" w14:textId="0FF87AC0" w:rsidR="005E09F7" w:rsidRDefault="005E09F7"/>
    <w:p w14:paraId="4A89C2AF" w14:textId="21FE907D" w:rsidR="005E09F7" w:rsidRDefault="005E09F7"/>
    <w:p w14:paraId="3DF9C7E1" w14:textId="3275CC9E" w:rsidR="005E09F7" w:rsidRDefault="005E09F7"/>
    <w:p w14:paraId="6C37A6FB" w14:textId="2E0DE65E" w:rsidR="005E09F7" w:rsidRDefault="005E09F7"/>
    <w:p w14:paraId="664B6F4D" w14:textId="76F9BDED" w:rsidR="005E09F7" w:rsidRDefault="005E09F7"/>
    <w:p w14:paraId="65F82EF2" w14:textId="7D2DF1DF" w:rsidR="005E09F7" w:rsidRDefault="005E09F7"/>
    <w:p w14:paraId="66A4F0CB" w14:textId="60B69474" w:rsidR="005E09F7" w:rsidRDefault="005E09F7"/>
    <w:sectPr w:rsidR="005E0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679E5"/>
    <w:multiLevelType w:val="hybridMultilevel"/>
    <w:tmpl w:val="2CE6B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F7"/>
    <w:rsid w:val="000C1D88"/>
    <w:rsid w:val="00535EFD"/>
    <w:rsid w:val="005E09F7"/>
    <w:rsid w:val="00A934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AE51"/>
  <w15:chartTrackingRefBased/>
  <w15:docId w15:val="{876FDC60-D845-403B-98A1-E70D5BDA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9F7"/>
  </w:style>
  <w:style w:type="paragraph" w:styleId="Heading2">
    <w:name w:val="heading 2"/>
    <w:basedOn w:val="Normal"/>
    <w:next w:val="Normal"/>
    <w:link w:val="Heading2Char"/>
    <w:uiPriority w:val="9"/>
    <w:semiHidden/>
    <w:unhideWhenUsed/>
    <w:qFormat/>
    <w:rsid w:val="00A934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E09F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9F7"/>
    <w:pPr>
      <w:ind w:left="720"/>
      <w:contextualSpacing/>
    </w:pPr>
  </w:style>
  <w:style w:type="character" w:customStyle="1" w:styleId="Heading3Char">
    <w:name w:val="Heading 3 Char"/>
    <w:basedOn w:val="DefaultParagraphFont"/>
    <w:link w:val="Heading3"/>
    <w:uiPriority w:val="9"/>
    <w:rsid w:val="005E09F7"/>
    <w:rPr>
      <w:rFonts w:ascii="Times New Roman" w:eastAsia="Times New Roman" w:hAnsi="Times New Roman" w:cs="Times New Roman"/>
      <w:b/>
      <w:bCs/>
      <w:sz w:val="27"/>
      <w:szCs w:val="27"/>
      <w:lang w:eastAsia="en-IN"/>
    </w:rPr>
  </w:style>
  <w:style w:type="paragraph" w:styleId="NoSpacing">
    <w:name w:val="No Spacing"/>
    <w:basedOn w:val="Normal"/>
    <w:uiPriority w:val="1"/>
    <w:qFormat/>
    <w:rsid w:val="005E09F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E09F7"/>
    <w:rPr>
      <w:b/>
      <w:bCs/>
    </w:rPr>
  </w:style>
  <w:style w:type="character" w:customStyle="1" w:styleId="qsnaskedby">
    <w:name w:val="qsnaskedby"/>
    <w:basedOn w:val="DefaultParagraphFont"/>
    <w:rsid w:val="005E09F7"/>
  </w:style>
  <w:style w:type="character" w:customStyle="1" w:styleId="name">
    <w:name w:val="name"/>
    <w:basedOn w:val="DefaultParagraphFont"/>
    <w:rsid w:val="005E09F7"/>
  </w:style>
  <w:style w:type="character" w:customStyle="1" w:styleId="qsndate">
    <w:name w:val="qsndate"/>
    <w:basedOn w:val="DefaultParagraphFont"/>
    <w:rsid w:val="005E09F7"/>
  </w:style>
  <w:style w:type="character" w:customStyle="1" w:styleId="qsntime">
    <w:name w:val="qsntime"/>
    <w:basedOn w:val="DefaultParagraphFont"/>
    <w:rsid w:val="005E09F7"/>
  </w:style>
  <w:style w:type="character" w:customStyle="1" w:styleId="Heading2Char">
    <w:name w:val="Heading 2 Char"/>
    <w:basedOn w:val="DefaultParagraphFont"/>
    <w:link w:val="Heading2"/>
    <w:uiPriority w:val="9"/>
    <w:semiHidden/>
    <w:rsid w:val="00A9340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9340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
    <w:name w:val="ind"/>
    <w:basedOn w:val="Normal"/>
    <w:rsid w:val="00A9340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5928">
      <w:bodyDiv w:val="1"/>
      <w:marLeft w:val="0"/>
      <w:marRight w:val="0"/>
      <w:marTop w:val="0"/>
      <w:marBottom w:val="0"/>
      <w:divBdr>
        <w:top w:val="none" w:sz="0" w:space="0" w:color="auto"/>
        <w:left w:val="none" w:sz="0" w:space="0" w:color="auto"/>
        <w:bottom w:val="none" w:sz="0" w:space="0" w:color="auto"/>
        <w:right w:val="none" w:sz="0" w:space="0" w:color="auto"/>
      </w:divBdr>
    </w:div>
    <w:div w:id="162666476">
      <w:bodyDiv w:val="1"/>
      <w:marLeft w:val="0"/>
      <w:marRight w:val="0"/>
      <w:marTop w:val="0"/>
      <w:marBottom w:val="0"/>
      <w:divBdr>
        <w:top w:val="none" w:sz="0" w:space="0" w:color="auto"/>
        <w:left w:val="none" w:sz="0" w:space="0" w:color="auto"/>
        <w:bottom w:val="none" w:sz="0" w:space="0" w:color="auto"/>
        <w:right w:val="none" w:sz="0" w:space="0" w:color="auto"/>
      </w:divBdr>
      <w:divsChild>
        <w:div w:id="988359731">
          <w:marLeft w:val="0"/>
          <w:marRight w:val="0"/>
          <w:marTop w:val="0"/>
          <w:marBottom w:val="0"/>
          <w:divBdr>
            <w:top w:val="none" w:sz="0" w:space="0" w:color="auto"/>
            <w:left w:val="none" w:sz="0" w:space="0" w:color="auto"/>
            <w:bottom w:val="none" w:sz="0" w:space="0" w:color="auto"/>
            <w:right w:val="none" w:sz="0" w:space="0" w:color="auto"/>
          </w:divBdr>
        </w:div>
        <w:div w:id="958145231">
          <w:marLeft w:val="0"/>
          <w:marRight w:val="0"/>
          <w:marTop w:val="0"/>
          <w:marBottom w:val="0"/>
          <w:divBdr>
            <w:top w:val="none" w:sz="0" w:space="0" w:color="auto"/>
            <w:left w:val="none" w:sz="0" w:space="0" w:color="auto"/>
            <w:bottom w:val="none" w:sz="0" w:space="0" w:color="auto"/>
            <w:right w:val="none" w:sz="0" w:space="0" w:color="auto"/>
          </w:divBdr>
        </w:div>
        <w:div w:id="289439730">
          <w:marLeft w:val="0"/>
          <w:marRight w:val="0"/>
          <w:marTop w:val="0"/>
          <w:marBottom w:val="0"/>
          <w:divBdr>
            <w:top w:val="none" w:sz="0" w:space="0" w:color="auto"/>
            <w:left w:val="none" w:sz="0" w:space="0" w:color="auto"/>
            <w:bottom w:val="none" w:sz="0" w:space="0" w:color="auto"/>
            <w:right w:val="none" w:sz="0" w:space="0" w:color="auto"/>
          </w:divBdr>
          <w:divsChild>
            <w:div w:id="20354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dcvarty@gmail.com</dc:creator>
  <cp:keywords/>
  <dc:description/>
  <cp:lastModifiedBy>dcvarty@gmail.com</cp:lastModifiedBy>
  <cp:revision>1</cp:revision>
  <dcterms:created xsi:type="dcterms:W3CDTF">2021-06-04T16:08:00Z</dcterms:created>
  <dcterms:modified xsi:type="dcterms:W3CDTF">2021-06-04T16:57:00Z</dcterms:modified>
</cp:coreProperties>
</file>