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06F94" w14:textId="0368A067" w:rsidR="00775ED7" w:rsidRDefault="00CE3F4B" w:rsidP="00CE3F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3F4B">
        <w:rPr>
          <w:rFonts w:ascii="Times New Roman" w:hAnsi="Times New Roman" w:cs="Times New Roman"/>
          <w:b/>
          <w:bCs/>
          <w:sz w:val="24"/>
          <w:szCs w:val="24"/>
          <w:lang w:val="en-US"/>
        </w:rPr>
        <w:t>Conductance</w:t>
      </w:r>
      <w:r w:rsidR="00BF62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01</w:t>
      </w:r>
    </w:p>
    <w:p w14:paraId="5D224A57" w14:textId="1D783BDC" w:rsidR="00A60EDA" w:rsidRDefault="00A60EDA" w:rsidP="00A60EDA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Dr. D. Chakravarty</w:t>
      </w:r>
    </w:p>
    <w:p w14:paraId="27E2ABE6" w14:textId="5510E4CE" w:rsidR="00CE3F4B" w:rsidRDefault="00CE3F4B" w:rsidP="00CE3F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E3F4B">
        <w:rPr>
          <w:rFonts w:ascii="Times New Roman" w:hAnsi="Times New Roman" w:cs="Times New Roman"/>
          <w:sz w:val="24"/>
          <w:szCs w:val="24"/>
          <w:lang w:val="en-US"/>
        </w:rPr>
        <w:t>Arrhenius theory of electrolytic dissociation-</w:t>
      </w:r>
    </w:p>
    <w:p w14:paraId="10D96A39" w14:textId="1E56639F" w:rsidR="00457E7D" w:rsidRPr="00457E7D" w:rsidRDefault="00CE3F4B" w:rsidP="004B756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Conductivity, Equivalent Conductivity &amp; Molar Conductivity-</w:t>
      </w:r>
    </w:p>
    <w:p w14:paraId="6BFE67DE" w14:textId="19E3922F" w:rsidR="00457E7D" w:rsidRPr="00457E7D" w:rsidRDefault="00457E7D" w:rsidP="00457E7D">
      <w:pPr>
        <w:rPr>
          <w:lang w:val="en-US"/>
        </w:rPr>
      </w:pPr>
    </w:p>
    <w:p w14:paraId="0626F0BC" w14:textId="714258BD" w:rsidR="00457E7D" w:rsidRPr="00457E7D" w:rsidRDefault="00457E7D" w:rsidP="00457E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57E7D">
        <w:rPr>
          <w:rFonts w:ascii="Times New Roman" w:hAnsi="Times New Roman" w:cs="Times New Roman"/>
          <w:b/>
          <w:bCs/>
          <w:sz w:val="24"/>
          <w:szCs w:val="24"/>
          <w:lang w:val="en-US"/>
        </w:rPr>
        <w:t>Arrhenius theory of electrolytic dissociation-</w:t>
      </w:r>
    </w:p>
    <w:tbl>
      <w:tblPr>
        <w:tblW w:w="10635" w:type="dxa"/>
        <w:tblCellSpacing w:w="0" w:type="dxa"/>
        <w:tblInd w:w="-8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5"/>
      </w:tblGrid>
      <w:tr w:rsidR="00457E7D" w:rsidRPr="00457E7D" w14:paraId="6E679535" w14:textId="77777777" w:rsidTr="00457E7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314AB0" w14:textId="06A3E374" w:rsidR="00457E7D" w:rsidRPr="00457E7D" w:rsidRDefault="00457E7D" w:rsidP="000B55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 xml:space="preserve">Svante Arrhenius was a Swedish scientist born in 1859.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>He</w:t>
            </w:r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 xml:space="preserve"> got the noble prize in chemistry 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 xml:space="preserve"> </w:t>
            </w:r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>his theories on ions, that led to his theories and definitions of acids and bases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>.</w:t>
            </w:r>
          </w:p>
          <w:p w14:paraId="2E2FD8D8" w14:textId="7C9EAAE9" w:rsidR="00E76AD8" w:rsidRDefault="00457E7D" w:rsidP="000B55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</w:pPr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>Arrhenius noticed that acid solutions were good conductors of electricity; they were electrolytes. To be able to conduct electricity a substance must have ions that can freely move around. From this</w:t>
            </w:r>
            <w:r w:rsidR="00E76AD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>,</w:t>
            </w:r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 xml:space="preserve"> Arrhenius drew the conclusion that acidic substances when dissolved broke down into ions, and that all acidic substances produced hydrogen ions in this process.</w:t>
            </w:r>
            <w:r w:rsidR="00E76AD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 xml:space="preserve"> </w:t>
            </w:r>
          </w:p>
          <w:p w14:paraId="4132285A" w14:textId="49B44D46" w:rsidR="00E76AD8" w:rsidRPr="00457E7D" w:rsidRDefault="00E76AD8" w:rsidP="000B55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>Arrhenius</w:t>
            </w:r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stated the theory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– </w:t>
            </w:r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acid produced hydrogen anions (H</w:t>
            </w:r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+</w:t>
            </w:r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 and bases produced negative hydroxide ions (OH</w:t>
            </w:r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-</w:t>
            </w:r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 when dissolved in water. This explained neutralisation the following way:</w:t>
            </w:r>
          </w:p>
          <w:p w14:paraId="5CB1E847" w14:textId="69A4E4A2" w:rsidR="00457E7D" w:rsidRDefault="00E76AD8" w:rsidP="000B55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457E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04A0442D" wp14:editId="13643723">
                  <wp:extent cx="3048000" cy="1123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E40F23" w14:textId="2C532FBB" w:rsidR="000B5558" w:rsidRDefault="000B5558" w:rsidP="000B5558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Fig: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Ions formed by substances dissolved in water –</w:t>
            </w:r>
          </w:p>
          <w:p w14:paraId="18572DD6" w14:textId="711AB653" w:rsidR="000B5558" w:rsidRPr="00457E7D" w:rsidRDefault="000B5558" w:rsidP="000B5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an important part of Arrhenius' theory</w:t>
            </w:r>
          </w:p>
          <w:p w14:paraId="3028D5BE" w14:textId="77777777" w:rsidR="00457E7D" w:rsidRPr="00457E7D" w:rsidRDefault="00457E7D" w:rsidP="000B55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gramStart"/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>Lets</w:t>
            </w:r>
            <w:proofErr w:type="gramEnd"/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 xml:space="preserve"> say the base XOH and the acid YH, are both dissolved in water. According to Arrhenius theory, the following reaction takes place:</w:t>
            </w:r>
          </w:p>
          <w:p w14:paraId="299CADB8" w14:textId="618235D5" w:rsidR="00457E7D" w:rsidRPr="00457E7D" w:rsidRDefault="00457E7D" w:rsidP="000B55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>First, both substances break down to ions:</w:t>
            </w:r>
            <w:r w:rsidR="00E76AD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 xml:space="preserve">    </w:t>
            </w:r>
            <w:r w:rsidR="00E76AD8">
              <w:rPr>
                <w:rFonts w:ascii="Arial" w:hAnsi="Arial" w:cs="Arial"/>
                <w:color w:val="333333"/>
                <w:shd w:val="clear" w:color="auto" w:fill="FFFFFF"/>
                <w:lang w:val="en-AU"/>
              </w:rPr>
              <w:t>XOH </w:t>
            </w:r>
            <w:r w:rsidR="00E76AD8">
              <w:rPr>
                <w:rFonts w:ascii="Wingdings" w:hAnsi="Wingdings"/>
                <w:color w:val="333333"/>
                <w:shd w:val="clear" w:color="auto" w:fill="FFFFFF"/>
                <w:lang w:val="en-AU"/>
              </w:rPr>
              <w:t>à</w:t>
            </w:r>
            <w:r w:rsidR="00E76AD8">
              <w:rPr>
                <w:rFonts w:ascii="Arial" w:hAnsi="Arial" w:cs="Arial"/>
                <w:color w:val="333333"/>
                <w:shd w:val="clear" w:color="auto" w:fill="FFFFFF"/>
                <w:lang w:val="en-AU"/>
              </w:rPr>
              <w:t> X</w:t>
            </w:r>
            <w:r w:rsidR="00E76AD8">
              <w:rPr>
                <w:rFonts w:ascii="Arial" w:hAnsi="Arial" w:cs="Arial"/>
                <w:color w:val="333333"/>
                <w:shd w:val="clear" w:color="auto" w:fill="FFFFFF"/>
                <w:vertAlign w:val="superscript"/>
                <w:lang w:val="en-AU"/>
              </w:rPr>
              <w:t>+ </w:t>
            </w:r>
            <w:r w:rsidR="00E76AD8">
              <w:rPr>
                <w:rFonts w:ascii="Arial" w:hAnsi="Arial" w:cs="Arial"/>
                <w:color w:val="333333"/>
                <w:shd w:val="clear" w:color="auto" w:fill="FFFFFF"/>
                <w:lang w:val="en-AU"/>
              </w:rPr>
              <w:t>+ OH</w:t>
            </w:r>
            <w:r w:rsidR="00E76AD8">
              <w:rPr>
                <w:rFonts w:ascii="Arial" w:hAnsi="Arial" w:cs="Arial"/>
                <w:color w:val="333333"/>
                <w:shd w:val="clear" w:color="auto" w:fill="FFFFFF"/>
                <w:vertAlign w:val="superscript"/>
                <w:lang w:val="en-AU"/>
              </w:rPr>
              <w:t>-</w:t>
            </w:r>
            <w:r w:rsidR="00E76AD8">
              <w:rPr>
                <w:rFonts w:ascii="Arial" w:hAnsi="Arial" w:cs="Arial"/>
                <w:color w:val="333333"/>
                <w:shd w:val="clear" w:color="auto" w:fill="FFFFFF"/>
                <w:lang w:val="en-AU"/>
              </w:rPr>
              <w:t>    and      YH </w:t>
            </w:r>
            <w:r w:rsidR="00E76AD8">
              <w:rPr>
                <w:rFonts w:ascii="Wingdings" w:hAnsi="Wingdings"/>
                <w:color w:val="333333"/>
                <w:shd w:val="clear" w:color="auto" w:fill="FFFFFF"/>
                <w:lang w:val="en-AU"/>
              </w:rPr>
              <w:t>à</w:t>
            </w:r>
            <w:r w:rsidR="00E76AD8">
              <w:rPr>
                <w:rFonts w:ascii="Arial" w:hAnsi="Arial" w:cs="Arial"/>
                <w:color w:val="333333"/>
                <w:shd w:val="clear" w:color="auto" w:fill="FFFFFF"/>
                <w:lang w:val="en-AU"/>
              </w:rPr>
              <w:t> Y</w:t>
            </w:r>
            <w:r w:rsidR="00E76AD8">
              <w:rPr>
                <w:rFonts w:ascii="Arial" w:hAnsi="Arial" w:cs="Arial"/>
                <w:color w:val="333333"/>
                <w:shd w:val="clear" w:color="auto" w:fill="FFFFFF"/>
                <w:vertAlign w:val="superscript"/>
                <w:lang w:val="en-AU"/>
              </w:rPr>
              <w:t>-</w:t>
            </w:r>
            <w:r w:rsidR="00E76AD8">
              <w:rPr>
                <w:rFonts w:ascii="Arial" w:hAnsi="Arial" w:cs="Arial"/>
                <w:color w:val="333333"/>
                <w:shd w:val="clear" w:color="auto" w:fill="FFFFFF"/>
                <w:lang w:val="en-AU"/>
              </w:rPr>
              <w:t> + H</w:t>
            </w:r>
            <w:r w:rsidR="00E76AD8">
              <w:rPr>
                <w:rFonts w:ascii="Arial" w:hAnsi="Arial" w:cs="Arial"/>
                <w:color w:val="333333"/>
                <w:shd w:val="clear" w:color="auto" w:fill="FFFFFF"/>
                <w:vertAlign w:val="superscript"/>
                <w:lang w:val="en-AU"/>
              </w:rPr>
              <w:t>+</w:t>
            </w:r>
          </w:p>
          <w:p w14:paraId="59BE5FB0" w14:textId="6E02A203" w:rsidR="000B5558" w:rsidRDefault="000B5558" w:rsidP="000B55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hd w:val="clear" w:color="auto" w:fill="FFFFFF"/>
                <w:lang w:val="en-AU"/>
              </w:rPr>
            </w:pPr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>Then, the substances react to form a salt and water:  </w:t>
            </w:r>
            <w:proofErr w:type="gramStart"/>
            <w:r>
              <w:rPr>
                <w:rFonts w:ascii="Arial" w:hAnsi="Arial" w:cs="Arial"/>
                <w:color w:val="333333"/>
                <w:shd w:val="clear" w:color="auto" w:fill="FFFFFF"/>
                <w:lang w:val="en-AU"/>
              </w:rPr>
              <w:t>XOH  +</w:t>
            </w:r>
            <w:proofErr w:type="gramEnd"/>
            <w:r>
              <w:rPr>
                <w:rFonts w:ascii="Arial" w:hAnsi="Arial" w:cs="Arial"/>
                <w:color w:val="333333"/>
                <w:shd w:val="clear" w:color="auto" w:fill="FFFFFF"/>
                <w:lang w:val="en-AU"/>
              </w:rPr>
              <w:t xml:space="preserve">  YH → 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X</w:t>
            </w:r>
            <w:r>
              <w:rPr>
                <w:rFonts w:ascii="Arial" w:hAnsi="Arial" w:cs="Arial"/>
                <w:color w:val="333333"/>
                <w:shd w:val="clear" w:color="auto" w:fill="FFFFFF"/>
                <w:vertAlign w:val="superscript"/>
              </w:rPr>
              <w:t>+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+Y</w:t>
            </w:r>
            <w:r>
              <w:rPr>
                <w:rFonts w:ascii="Arial" w:hAnsi="Arial" w:cs="Arial"/>
                <w:color w:val="333333"/>
                <w:shd w:val="clear" w:color="auto" w:fill="FFFFFF"/>
                <w:vertAlign w:val="superscript"/>
              </w:rPr>
              <w:t>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+OH</w:t>
            </w:r>
            <w:r>
              <w:rPr>
                <w:rFonts w:ascii="Arial" w:hAnsi="Arial" w:cs="Arial"/>
                <w:color w:val="333333"/>
                <w:shd w:val="clear" w:color="auto" w:fill="FFFFFF"/>
                <w:vertAlign w:val="superscript"/>
              </w:rPr>
              <w:t>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+H</w:t>
            </w:r>
            <w:r>
              <w:rPr>
                <w:rFonts w:ascii="Arial" w:hAnsi="Arial" w:cs="Arial"/>
                <w:color w:val="333333"/>
                <w:shd w:val="clear" w:color="auto" w:fill="FFFFFF"/>
                <w:vertAlign w:val="superscript"/>
              </w:rPr>
              <w:t>+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Wingdings" w:hAnsi="Wingdings" w:cs="Arial"/>
                <w:color w:val="333333"/>
                <w:shd w:val="clear" w:color="auto" w:fill="FFFFFF"/>
                <w:lang w:val="en-AU"/>
              </w:rPr>
              <w:t>à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AU"/>
              </w:rPr>
              <w:t> XY + H</w:t>
            </w:r>
            <w:r>
              <w:rPr>
                <w:rFonts w:ascii="Arial" w:hAnsi="Arial" w:cs="Arial"/>
                <w:color w:val="333333"/>
                <w:shd w:val="clear" w:color="auto" w:fill="FFFFFF"/>
                <w:vertAlign w:val="subscript"/>
                <w:lang w:val="en-AU"/>
              </w:rPr>
              <w:t>2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en-AU"/>
              </w:rPr>
              <w:t>O  </w:t>
            </w:r>
          </w:p>
          <w:p w14:paraId="760E3084" w14:textId="77777777" w:rsidR="00A60EDA" w:rsidRPr="00A60EDA" w:rsidRDefault="00A60EDA" w:rsidP="000B55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hd w:val="clear" w:color="auto" w:fill="FFFFFF"/>
                <w:lang w:val="en-AU"/>
              </w:rPr>
            </w:pPr>
          </w:p>
          <w:p w14:paraId="283EF4BD" w14:textId="66655D6F" w:rsidR="00457E7D" w:rsidRPr="00457E7D" w:rsidRDefault="00457E7D" w:rsidP="000B55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5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IN"/>
              </w:rPr>
              <w:t>  </w:t>
            </w:r>
            <w:r w:rsidR="000B5558" w:rsidRPr="000B55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IN"/>
              </w:rPr>
              <w:t xml:space="preserve">Limitations of </w:t>
            </w:r>
            <w:r w:rsidR="000B5558" w:rsidRPr="00457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Arrhenius’ theory</w:t>
            </w:r>
            <w:r w:rsidR="000B55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:</w:t>
            </w:r>
          </w:p>
          <w:p w14:paraId="2469F03B" w14:textId="0385BB2E" w:rsidR="000B5558" w:rsidRDefault="00457E7D" w:rsidP="000B55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57E7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Arrhenius’ theory was important for a number of reasons</w:t>
            </w:r>
            <w:r w:rsidR="000B55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–</w:t>
            </w:r>
          </w:p>
          <w:p w14:paraId="123FC02B" w14:textId="39E809CE" w:rsidR="00457E7D" w:rsidRPr="00457E7D" w:rsidRDefault="000B5558" w:rsidP="000B55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It was </w:t>
            </w:r>
            <w:r w:rsidR="00457E7D" w:rsidRPr="00457E7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first theory to produce comprehensive criteria for acids and bases, </w:t>
            </w:r>
            <w:proofErr w:type="gramStart"/>
            <w:r w:rsidR="00457E7D" w:rsidRPr="00457E7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It</w:t>
            </w:r>
            <w:proofErr w:type="gramEnd"/>
            <w:r w:rsidR="00457E7D" w:rsidRPr="00457E7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was also the first theory on acids and bases that recognised the importance of solvents in neutralisation and the production of water during the reaction.</w:t>
            </w:r>
          </w:p>
          <w:p w14:paraId="32BBEC5E" w14:textId="7FDF666A" w:rsidR="00457E7D" w:rsidRPr="00457E7D" w:rsidRDefault="000B5558" w:rsidP="000B55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Whereas there is a </w:t>
            </w:r>
            <w:r w:rsidR="00457E7D" w:rsidRPr="00457E7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>big gap in Arrhenius’ theory that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>,</w:t>
            </w:r>
            <w:r w:rsidR="00457E7D" w:rsidRPr="00457E7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IN"/>
              </w:rPr>
              <w:t xml:space="preserve"> it can’t explain why ammonia is a base, and why water can act as a base or an acid in certain reactions. Also, the theory can't be applied to acid-base reactions in solvents other than water or in no solvent at all.</w:t>
            </w:r>
          </w:p>
        </w:tc>
      </w:tr>
    </w:tbl>
    <w:p w14:paraId="35EA5474" w14:textId="60ACA7E1" w:rsidR="00457E7D" w:rsidRDefault="00457E7D" w:rsidP="00457E7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144E29" w14:textId="77777777" w:rsidR="00A60EDA" w:rsidRDefault="000B5558" w:rsidP="00A60E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F211A">
        <w:rPr>
          <w:rFonts w:ascii="Times New Roman" w:hAnsi="Times New Roman" w:cs="Times New Roman"/>
          <w:b/>
          <w:bCs/>
          <w:sz w:val="24"/>
          <w:szCs w:val="24"/>
          <w:lang w:val="en-US"/>
        </w:rPr>
        <w:t>Conductivity, Equivalent Conductivity &amp; Molar Conductivity</w:t>
      </w:r>
      <w:r w:rsidR="00A60E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</w:p>
    <w:p w14:paraId="5AB15FA4" w14:textId="28598A1D" w:rsidR="000B5558" w:rsidRPr="00A60EDA" w:rsidRDefault="00511784" w:rsidP="00A60ED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60EDA">
        <w:rPr>
          <w:rFonts w:ascii="Times New Roman" w:hAnsi="Times New Roman" w:cs="Times New Roman"/>
          <w:sz w:val="24"/>
          <w:szCs w:val="24"/>
          <w:shd w:val="clear" w:color="auto" w:fill="FFFFFF"/>
        </w:rPr>
        <w:t>The </w:t>
      </w:r>
      <w:hyperlink r:id="rId8" w:tooltip="Electrical conductivity" w:history="1">
        <w:r w:rsidRPr="00A60E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electrical conductivity</w:t>
        </w:r>
      </w:hyperlink>
      <w:r w:rsidRPr="00A60EDA">
        <w:rPr>
          <w:rFonts w:ascii="Times New Roman" w:hAnsi="Times New Roman" w:cs="Times New Roman"/>
          <w:sz w:val="24"/>
          <w:szCs w:val="24"/>
          <w:shd w:val="clear" w:color="auto" w:fill="FFFFFF"/>
        </w:rPr>
        <w:t> of a solution of an </w:t>
      </w:r>
      <w:hyperlink r:id="rId9" w:tooltip="Electrolyte" w:history="1">
        <w:r w:rsidRPr="00A60E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electrolyte</w:t>
        </w:r>
      </w:hyperlink>
      <w:r w:rsidRPr="00A60EDA">
        <w:rPr>
          <w:rFonts w:ascii="Times New Roman" w:hAnsi="Times New Roman" w:cs="Times New Roman"/>
          <w:sz w:val="24"/>
          <w:szCs w:val="24"/>
          <w:shd w:val="clear" w:color="auto" w:fill="FFFFFF"/>
        </w:rPr>
        <w:t> is measured by determining the </w:t>
      </w:r>
      <w:hyperlink r:id="rId10" w:tooltip="Electrical resistance" w:history="1">
        <w:r w:rsidRPr="00A60E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resistance</w:t>
        </w:r>
      </w:hyperlink>
      <w:r w:rsidRPr="00A60EDA">
        <w:rPr>
          <w:rFonts w:ascii="Times New Roman" w:hAnsi="Times New Roman" w:cs="Times New Roman"/>
          <w:sz w:val="24"/>
          <w:szCs w:val="24"/>
          <w:shd w:val="clear" w:color="auto" w:fill="FFFFFF"/>
        </w:rPr>
        <w:t> of the solution between two flat or cylindrical </w:t>
      </w:r>
      <w:hyperlink r:id="rId11" w:tooltip="Electrode" w:history="1">
        <w:r w:rsidRPr="00A60E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electrodes</w:t>
        </w:r>
      </w:hyperlink>
      <w:r w:rsidRPr="00A60EDA">
        <w:rPr>
          <w:rFonts w:ascii="Times New Roman" w:hAnsi="Times New Roman" w:cs="Times New Roman"/>
          <w:sz w:val="24"/>
          <w:szCs w:val="24"/>
          <w:shd w:val="clear" w:color="auto" w:fill="FFFFFF"/>
        </w:rPr>
        <w:t> separated by a fixed distance</w:t>
      </w:r>
    </w:p>
    <w:p w14:paraId="4AED7EE6" w14:textId="3B3F9318" w:rsidR="005A66E6" w:rsidRDefault="005A66E6" w:rsidP="005A66E6">
      <w:pPr>
        <w:rPr>
          <w:noProof/>
        </w:rPr>
      </w:pPr>
      <w:r>
        <w:rPr>
          <w:noProof/>
        </w:rPr>
        <w:drawing>
          <wp:inline distT="0" distB="0" distL="0" distR="0" wp14:anchorId="71D2023C" wp14:editId="751D80FB">
            <wp:extent cx="2527300" cy="16192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EC649" w14:textId="73E51082" w:rsidR="005A66E6" w:rsidRPr="00A60EDA" w:rsidRDefault="00A60EDA" w:rsidP="005A66E6">
      <w:pPr>
        <w:rPr>
          <w:rFonts w:ascii="Times New Roman" w:hAnsi="Times New Roman" w:cs="Times New Roman"/>
          <w:noProof/>
        </w:rPr>
      </w:pPr>
      <w:r w:rsidRPr="00A60EDA">
        <w:rPr>
          <w:rFonts w:ascii="Times New Roman" w:hAnsi="Times New Roman" w:cs="Times New Roman"/>
          <w:noProof/>
        </w:rPr>
        <w:t>Fig. Principle of Measurement</w:t>
      </w:r>
    </w:p>
    <w:p w14:paraId="4CA139E1" w14:textId="77777777" w:rsidR="005A66E6" w:rsidRPr="005A66E6" w:rsidRDefault="005A66E6" w:rsidP="005A66E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Resistance, </w:t>
      </w:r>
      <w:r w:rsidRPr="005A66E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R</w:t>
      </w: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, is proportional to the distance, </w:t>
      </w:r>
      <w:r w:rsidRPr="005A66E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l</w:t>
      </w: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, between the electrodes and is inversely proportional to the cross-sectional area of the sample, </w:t>
      </w:r>
      <w:r w:rsidRPr="005A66E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</w:t>
      </w: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 (noted </w:t>
      </w:r>
      <w:r w:rsidRPr="005A66E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</w:t>
      </w: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 on the Figure above). Writing ρ (rho) for the specific resistance (or </w:t>
      </w:r>
      <w:hyperlink r:id="rId13" w:tooltip="Resistivity" w:history="1">
        <w:r w:rsidRPr="005A66E6">
          <w:rPr>
            <w:rFonts w:ascii="Times New Roman" w:eastAsia="Times New Roman" w:hAnsi="Times New Roman" w:cs="Times New Roman"/>
            <w:sz w:val="24"/>
            <w:szCs w:val="24"/>
            <w:lang w:eastAsia="en-IN"/>
          </w:rPr>
          <w:t>resistivity</w:t>
        </w:r>
      </w:hyperlink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),</w:t>
      </w:r>
    </w:p>
    <w:p w14:paraId="60364CDF" w14:textId="4BE80D88" w:rsidR="005A66E6" w:rsidRPr="005A66E6" w:rsidRDefault="005A66E6" w:rsidP="005A66E6">
      <w:pPr>
        <w:shd w:val="clear" w:color="auto" w:fill="FFFFFF"/>
        <w:spacing w:after="24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 = l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A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ρ</w:t>
      </w:r>
      <w:r w:rsidRPr="005A66E6"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  <w:t xml:space="preserve"> {\displaystyle R={\frac {l}{A}}\rho .}</w:t>
      </w:r>
    </w:p>
    <w:p w14:paraId="1E2FE294" w14:textId="77777777" w:rsidR="005A66E6" w:rsidRPr="005A66E6" w:rsidRDefault="005A66E6" w:rsidP="005A66E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In practice the conductivity cell is </w:t>
      </w:r>
      <w:hyperlink r:id="rId14" w:tooltip="Calibrated" w:history="1">
        <w:r w:rsidRPr="005A66E6">
          <w:rPr>
            <w:rFonts w:ascii="Times New Roman" w:eastAsia="Times New Roman" w:hAnsi="Times New Roman" w:cs="Times New Roman"/>
            <w:sz w:val="24"/>
            <w:szCs w:val="24"/>
            <w:lang w:eastAsia="en-IN"/>
          </w:rPr>
          <w:t>calibrated</w:t>
        </w:r>
      </w:hyperlink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 by using solutions of known specific resistance, ρ</w:t>
      </w:r>
      <w:r w:rsidRPr="005A66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*</w:t>
      </w: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, so the quantities </w:t>
      </w:r>
      <w:r w:rsidRPr="005A66E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l</w:t>
      </w: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 and </w:t>
      </w:r>
      <w:r w:rsidRPr="005A66E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</w:t>
      </w: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 need not be known precisely.</w:t>
      </w:r>
      <w:hyperlink r:id="rId15" w:anchor="cite_note-10" w:history="1">
        <w:r w:rsidRPr="005A66E6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en-IN"/>
          </w:rPr>
          <w:t>[10]</w:t>
        </w:r>
      </w:hyperlink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 If the resistance of the calibration solution is </w:t>
      </w:r>
      <w:r w:rsidRPr="005A66E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R</w:t>
      </w:r>
      <w:r w:rsidRPr="005A66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*</w:t>
      </w: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, a cell-constant, </w:t>
      </w:r>
      <w:r w:rsidRPr="005A66E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</w:t>
      </w: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, is derived.</w:t>
      </w:r>
    </w:p>
    <w:p w14:paraId="2E13F9E5" w14:textId="7B233A0A" w:rsidR="005A66E6" w:rsidRPr="005A66E6" w:rsidRDefault="005A66E6" w:rsidP="005A66E6">
      <w:pPr>
        <w:shd w:val="clear" w:color="auto" w:fill="FFFFFF"/>
        <w:spacing w:after="24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66E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R</w:t>
      </w:r>
      <w:r w:rsidRPr="005A66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= C X </w:t>
      </w:r>
      <w:r w:rsidR="00A60EDA"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ρ</w:t>
      </w:r>
      <w:r w:rsidR="00A60EDA" w:rsidRPr="005A66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*</w:t>
      </w:r>
      <w:r w:rsidRPr="005A66E6"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  <w:t>{\displaystyle R^{*}=C\times \rho ^{*}}</w:t>
      </w:r>
    </w:p>
    <w:p w14:paraId="4F668D86" w14:textId="77777777" w:rsidR="005A66E6" w:rsidRPr="005A66E6" w:rsidRDefault="005A66E6" w:rsidP="005A66E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The specific conductance (conductivity), κ (kappa) is the reciprocal of the specific resistance.</w:t>
      </w:r>
    </w:p>
    <w:p w14:paraId="2C502486" w14:textId="2FD98660" w:rsidR="005A66E6" w:rsidRPr="005A66E6" w:rsidRDefault="005A66E6" w:rsidP="005A66E6">
      <w:pPr>
        <w:shd w:val="clear" w:color="auto" w:fill="FFFFFF"/>
        <w:spacing w:after="24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66E6"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  <w:t>{\displaystyle \kappa ={\frac {1}{\rho }}={\frac {C}{R}}}</w:t>
      </w:r>
      <w:r w:rsidR="00A60EDA" w:rsidRPr="00A60ED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A60EDA"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κ</w:t>
      </w:r>
      <w:r w:rsidR="00A60ED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1 / </w:t>
      </w:r>
      <w:r w:rsidR="00A60EDA"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ρ</w:t>
      </w:r>
      <w:r w:rsidR="00A60ED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C / R</w:t>
      </w:r>
    </w:p>
    <w:p w14:paraId="1995F02A" w14:textId="77777777" w:rsidR="005A66E6" w:rsidRPr="005A66E6" w:rsidRDefault="005A66E6" w:rsidP="005A66E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Conductivity is also </w:t>
      </w:r>
      <w:hyperlink r:id="rId16" w:tooltip="Electrical conductivity meter" w:history="1">
        <w:r w:rsidRPr="005A66E6">
          <w:rPr>
            <w:rFonts w:ascii="Times New Roman" w:eastAsia="Times New Roman" w:hAnsi="Times New Roman" w:cs="Times New Roman"/>
            <w:sz w:val="24"/>
            <w:szCs w:val="24"/>
            <w:lang w:eastAsia="en-IN"/>
          </w:rPr>
          <w:t>temperature-dependent</w:t>
        </w:r>
      </w:hyperlink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. Sometimes the ratio of </w:t>
      </w:r>
      <w:r w:rsidRPr="005A66E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l</w:t>
      </w: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 and </w:t>
      </w:r>
      <w:r w:rsidRPr="005A66E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</w:t>
      </w: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 is called as the cell constant, denoted as G</w:t>
      </w:r>
      <w:r w:rsidRPr="005A66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*</w:t>
      </w: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, and conductance is denoted as G. Then the specific conductance κ (kappa), can be more conveniently written as</w:t>
      </w:r>
    </w:p>
    <w:p w14:paraId="282B39AD" w14:textId="0D13F8F0" w:rsidR="005A66E6" w:rsidRPr="005A66E6" w:rsidRDefault="005A66E6" w:rsidP="005A66E6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r w:rsidRPr="005A66E6">
        <w:rPr>
          <w:rFonts w:ascii="Arial" w:eastAsia="Times New Roman" w:hAnsi="Arial" w:cs="Arial"/>
          <w:vanish/>
          <w:color w:val="202122"/>
          <w:sz w:val="25"/>
          <w:szCs w:val="25"/>
          <w:lang w:eastAsia="en-IN"/>
        </w:rPr>
        <w:t>{\displaystyle \kappa =G^{*}\times G}</w:t>
      </w:r>
      <w:r w:rsidR="00A60EDA" w:rsidRPr="00A60ED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3096773C" w14:textId="01530529" w:rsidR="005A66E6" w:rsidRDefault="00A60EDA" w:rsidP="005A66E6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Κ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</w:t>
      </w:r>
      <w:r w:rsidRPr="005A66E6">
        <w:rPr>
          <w:rFonts w:ascii="Times New Roman" w:eastAsia="Times New Roman" w:hAnsi="Times New Roman" w:cs="Times New Roman"/>
          <w:sz w:val="24"/>
          <w:szCs w:val="24"/>
          <w:lang w:eastAsia="en-IN"/>
        </w:rPr>
        <w:t>G</w:t>
      </w:r>
      <w:r w:rsidRPr="005A66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X G</w:t>
      </w:r>
    </w:p>
    <w:p w14:paraId="68F9AF70" w14:textId="4DCC48B5" w:rsidR="00BF62DD" w:rsidRDefault="00BF62DD" w:rsidP="005A66E6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10E3813" w14:textId="77777777" w:rsidR="00BF62DD" w:rsidRDefault="00BF62DD" w:rsidP="005A66E6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29423BC" w14:textId="5944AA3E" w:rsidR="00A60EDA" w:rsidRPr="00A60EDA" w:rsidRDefault="00A60EDA" w:rsidP="00A60ED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*********</w:t>
      </w:r>
    </w:p>
    <w:sectPr w:rsidR="00A60EDA" w:rsidRPr="00A60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38147" w14:textId="77777777" w:rsidR="00FD7558" w:rsidRDefault="00FD7558" w:rsidP="00A60EDA">
      <w:pPr>
        <w:spacing w:after="0" w:line="240" w:lineRule="auto"/>
      </w:pPr>
      <w:r>
        <w:separator/>
      </w:r>
    </w:p>
  </w:endnote>
  <w:endnote w:type="continuationSeparator" w:id="0">
    <w:p w14:paraId="05273A6F" w14:textId="77777777" w:rsidR="00FD7558" w:rsidRDefault="00FD7558" w:rsidP="00A6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F839" w14:textId="77777777" w:rsidR="00FD7558" w:rsidRDefault="00FD7558" w:rsidP="00A60EDA">
      <w:pPr>
        <w:spacing w:after="0" w:line="240" w:lineRule="auto"/>
      </w:pPr>
      <w:r>
        <w:separator/>
      </w:r>
    </w:p>
  </w:footnote>
  <w:footnote w:type="continuationSeparator" w:id="0">
    <w:p w14:paraId="17B82777" w14:textId="77777777" w:rsidR="00FD7558" w:rsidRDefault="00FD7558" w:rsidP="00A6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7874"/>
    <w:multiLevelType w:val="hybridMultilevel"/>
    <w:tmpl w:val="2CE6BC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A5573"/>
    <w:multiLevelType w:val="hybridMultilevel"/>
    <w:tmpl w:val="FB5204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679E5"/>
    <w:multiLevelType w:val="hybridMultilevel"/>
    <w:tmpl w:val="2CE6BC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4B"/>
    <w:rsid w:val="000B5558"/>
    <w:rsid w:val="002F211A"/>
    <w:rsid w:val="00457E7D"/>
    <w:rsid w:val="004B7567"/>
    <w:rsid w:val="00511784"/>
    <w:rsid w:val="005A66E6"/>
    <w:rsid w:val="006225ED"/>
    <w:rsid w:val="00775ED7"/>
    <w:rsid w:val="00A60EDA"/>
    <w:rsid w:val="00BF62DD"/>
    <w:rsid w:val="00CE3F4B"/>
    <w:rsid w:val="00E76AD8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41712"/>
  <w15:chartTrackingRefBased/>
  <w15:docId w15:val="{0FA6D6D9-396B-4366-904B-6C4353BF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7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F4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57E7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57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5117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0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EDA"/>
  </w:style>
  <w:style w:type="paragraph" w:styleId="Footer">
    <w:name w:val="footer"/>
    <w:basedOn w:val="Normal"/>
    <w:link w:val="FooterChar"/>
    <w:uiPriority w:val="99"/>
    <w:unhideWhenUsed/>
    <w:rsid w:val="00A60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6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lectrical_conductivity" TargetMode="External"/><Relationship Id="rId13" Type="http://schemas.openxmlformats.org/officeDocument/2006/relationships/hyperlink" Target="https://en.wikipedia.org/wiki/Resistivit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Electrical_conductivity_met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Electro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Conductivity_(electrolytic)" TargetMode="External"/><Relationship Id="rId10" Type="http://schemas.openxmlformats.org/officeDocument/2006/relationships/hyperlink" Target="https://en.wikipedia.org/wiki/Electrical_resist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Electrolyte" TargetMode="External"/><Relationship Id="rId14" Type="http://schemas.openxmlformats.org/officeDocument/2006/relationships/hyperlink" Target="https://en.wikipedia.org/wiki/Calibr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dcvarty@gmail.com</dc:creator>
  <cp:keywords/>
  <dc:description/>
  <cp:lastModifiedBy>dcvarty@gmail.com</cp:lastModifiedBy>
  <cp:revision>5</cp:revision>
  <dcterms:created xsi:type="dcterms:W3CDTF">2021-05-31T16:04:00Z</dcterms:created>
  <dcterms:modified xsi:type="dcterms:W3CDTF">2021-05-31T17:22:00Z</dcterms:modified>
</cp:coreProperties>
</file>